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B5" w:rsidRPr="00D823BE" w:rsidRDefault="008822B5" w:rsidP="00D823BE">
      <w:pPr>
        <w:jc w:val="center"/>
        <w:rPr>
          <w:b/>
          <w:color w:val="FF0000"/>
          <w:sz w:val="36"/>
          <w:szCs w:val="36"/>
          <w:lang w:val="en-GB"/>
        </w:rPr>
      </w:pPr>
      <w:r w:rsidRPr="00D823BE">
        <w:rPr>
          <w:b/>
          <w:color w:val="FF0000"/>
          <w:sz w:val="36"/>
          <w:szCs w:val="36"/>
          <w:lang w:val="en-GB"/>
        </w:rPr>
        <w:t xml:space="preserve">The article is published in Ukrainian in the journal. </w:t>
      </w:r>
      <w:r w:rsidRPr="00D823BE">
        <w:rPr>
          <w:b/>
          <w:color w:val="FF0000"/>
          <w:sz w:val="36"/>
          <w:szCs w:val="36"/>
          <w:lang w:val="en-GB"/>
        </w:rPr>
        <w:br/>
        <w:t>The English text is given in the author's version.</w:t>
      </w:r>
    </w:p>
    <w:p w:rsidR="008822B5" w:rsidRPr="00D823BE" w:rsidRDefault="008822B5" w:rsidP="008A5CF1">
      <w:pPr>
        <w:pStyle w:val="tecst"/>
        <w:spacing w:line="360" w:lineRule="auto"/>
        <w:ind w:right="142" w:firstLine="284"/>
        <w:rPr>
          <w:b/>
          <w:bCs/>
          <w:sz w:val="28"/>
          <w:szCs w:val="28"/>
          <w:lang w:val="en-GB"/>
        </w:rPr>
      </w:pPr>
    </w:p>
    <w:p w:rsidR="008822B5" w:rsidRDefault="008822B5" w:rsidP="00892AE6">
      <w:pPr>
        <w:pStyle w:val="BodyTextIndent3"/>
        <w:spacing w:after="0" w:line="360" w:lineRule="auto"/>
        <w:ind w:left="0"/>
        <w:rPr>
          <w:sz w:val="28"/>
          <w:szCs w:val="28"/>
          <w:lang w:val="uk-UA"/>
        </w:rPr>
      </w:pPr>
      <w:r>
        <w:rPr>
          <w:sz w:val="28"/>
          <w:szCs w:val="28"/>
          <w:lang w:val="en-US"/>
        </w:rPr>
        <w:t>UDC</w:t>
      </w:r>
      <w:r w:rsidRPr="00B97612">
        <w:rPr>
          <w:sz w:val="28"/>
          <w:szCs w:val="28"/>
          <w:lang w:val="uk-UA"/>
        </w:rPr>
        <w:t xml:space="preserve"> 615.1:167/168:351.84</w:t>
      </w:r>
      <w:r w:rsidRPr="00B97612">
        <w:rPr>
          <w:sz w:val="28"/>
          <w:szCs w:val="28"/>
        </w:rPr>
        <w:t>:615</w:t>
      </w:r>
      <w:r w:rsidRPr="00B97612">
        <w:rPr>
          <w:sz w:val="28"/>
          <w:szCs w:val="28"/>
          <w:lang w:val="uk-UA"/>
        </w:rPr>
        <w:t>.</w:t>
      </w:r>
      <w:r w:rsidRPr="00B97612">
        <w:rPr>
          <w:sz w:val="28"/>
          <w:szCs w:val="28"/>
        </w:rPr>
        <w:t>12:338</w:t>
      </w:r>
      <w:r w:rsidRPr="00B97612">
        <w:rPr>
          <w:sz w:val="28"/>
          <w:szCs w:val="28"/>
          <w:lang w:val="uk-UA"/>
        </w:rPr>
        <w:t>.</w:t>
      </w:r>
      <w:r w:rsidRPr="00B97612">
        <w:rPr>
          <w:sz w:val="28"/>
          <w:szCs w:val="28"/>
        </w:rPr>
        <w:t>5</w:t>
      </w:r>
    </w:p>
    <w:p w:rsidR="008822B5" w:rsidRPr="00D823BE" w:rsidRDefault="008822B5" w:rsidP="008A5CF1">
      <w:pPr>
        <w:pStyle w:val="tecst"/>
        <w:spacing w:line="360" w:lineRule="auto"/>
        <w:ind w:right="142" w:firstLine="284"/>
        <w:rPr>
          <w:b/>
          <w:bCs/>
          <w:sz w:val="28"/>
          <w:szCs w:val="28"/>
          <w:lang w:val="en-GB"/>
        </w:rPr>
      </w:pPr>
      <w:r w:rsidRPr="00D823BE">
        <w:rPr>
          <w:b/>
          <w:bCs/>
          <w:sz w:val="28"/>
          <w:szCs w:val="28"/>
          <w:lang w:val="en-GB"/>
        </w:rPr>
        <w:t xml:space="preserve">RESULTS OF CLINICAL AND ECONOMIC ANALYSIS OF THE CONSUMPTION OF MEDICINES BY PATIENTS WITH ACUTE LYMPHOID AND MYELOID LEUKEMIA IN UKRAINE </w:t>
      </w:r>
    </w:p>
    <w:p w:rsidR="008822B5" w:rsidRPr="00D823BE" w:rsidRDefault="008822B5" w:rsidP="008A5CF1">
      <w:pPr>
        <w:pStyle w:val="tecst"/>
        <w:spacing w:line="360" w:lineRule="auto"/>
        <w:ind w:right="142" w:firstLine="284"/>
        <w:rPr>
          <w:b/>
          <w:bCs/>
          <w:i/>
          <w:iCs/>
          <w:color w:val="auto"/>
          <w:sz w:val="28"/>
          <w:szCs w:val="28"/>
          <w:lang w:val="en-GB"/>
        </w:rPr>
      </w:pPr>
      <w:r w:rsidRPr="00D823BE">
        <w:rPr>
          <w:b/>
          <w:bCs/>
          <w:i/>
          <w:iCs/>
          <w:color w:val="auto"/>
          <w:sz w:val="28"/>
          <w:szCs w:val="28"/>
          <w:lang w:val="en-GB"/>
        </w:rPr>
        <w:t>G.L. Panfilova, О. V. Tsurikova, Korzh Y. V.</w:t>
      </w:r>
    </w:p>
    <w:p w:rsidR="008822B5" w:rsidRPr="00D823BE" w:rsidRDefault="008822B5" w:rsidP="008A5CF1">
      <w:pPr>
        <w:pStyle w:val="tecst"/>
        <w:spacing w:line="360" w:lineRule="auto"/>
        <w:ind w:right="142" w:firstLine="284"/>
        <w:jc w:val="left"/>
        <w:rPr>
          <w:color w:val="auto"/>
          <w:sz w:val="28"/>
          <w:szCs w:val="28"/>
          <w:lang w:val="en-GB"/>
        </w:rPr>
      </w:pPr>
      <w:r w:rsidRPr="00D823BE">
        <w:rPr>
          <w:color w:val="auto"/>
          <w:sz w:val="28"/>
          <w:szCs w:val="28"/>
          <w:lang w:val="en-GB"/>
        </w:rPr>
        <w:t xml:space="preserve">National university </w:t>
      </w:r>
      <w:r w:rsidRPr="00D823BE">
        <w:rPr>
          <w:sz w:val="28"/>
          <w:szCs w:val="28"/>
          <w:lang w:val="en-GB"/>
        </w:rPr>
        <w:t xml:space="preserve">of </w:t>
      </w:r>
      <w:r w:rsidRPr="00D823BE">
        <w:rPr>
          <w:color w:val="auto"/>
          <w:sz w:val="28"/>
          <w:szCs w:val="28"/>
          <w:lang w:val="en-GB"/>
        </w:rPr>
        <w:t>pharmacу</w:t>
      </w:r>
    </w:p>
    <w:p w:rsidR="008822B5" w:rsidRPr="00D823BE" w:rsidRDefault="008822B5" w:rsidP="008A5CF1">
      <w:pPr>
        <w:pStyle w:val="tecst"/>
        <w:spacing w:line="360" w:lineRule="auto"/>
        <w:ind w:right="142" w:firstLine="284"/>
        <w:rPr>
          <w:rStyle w:val="hps"/>
          <w:i/>
          <w:iCs/>
          <w:color w:val="auto"/>
          <w:sz w:val="28"/>
          <w:szCs w:val="28"/>
          <w:lang w:val="en-GB"/>
        </w:rPr>
      </w:pPr>
      <w:r w:rsidRPr="00D823BE">
        <w:rPr>
          <w:b/>
          <w:bCs/>
          <w:i/>
          <w:iCs/>
          <w:sz w:val="28"/>
          <w:szCs w:val="28"/>
          <w:lang w:val="en-GB"/>
        </w:rPr>
        <w:t>Key words</w:t>
      </w:r>
      <w:r w:rsidRPr="00D823BE">
        <w:rPr>
          <w:b/>
          <w:bCs/>
          <w:i/>
          <w:iCs/>
          <w:caps/>
          <w:sz w:val="28"/>
          <w:szCs w:val="28"/>
          <w:lang w:val="en-GB"/>
        </w:rPr>
        <w:t>:</w:t>
      </w:r>
      <w:r w:rsidRPr="00D823BE">
        <w:rPr>
          <w:i/>
          <w:iCs/>
          <w:sz w:val="28"/>
          <w:szCs w:val="28"/>
          <w:lang w:val="en-GB"/>
        </w:rPr>
        <w:t xml:space="preserve"> acute lymphoid leukemia, acute myeloid leukemia, clinical and economic analysis, p</w:t>
      </w:r>
      <w:r w:rsidRPr="00D823BE">
        <w:rPr>
          <w:i/>
          <w:iCs/>
          <w:color w:val="auto"/>
          <w:sz w:val="28"/>
          <w:szCs w:val="28"/>
          <w:lang w:val="en-GB"/>
        </w:rPr>
        <w:t>harmaceutical providing of patients with leukemia</w:t>
      </w:r>
      <w:r w:rsidRPr="00D823BE">
        <w:rPr>
          <w:rStyle w:val="hps"/>
          <w:i/>
          <w:iCs/>
          <w:color w:val="auto"/>
          <w:sz w:val="28"/>
          <w:szCs w:val="28"/>
          <w:lang w:val="en-GB"/>
        </w:rPr>
        <w:t xml:space="preserve"> </w:t>
      </w:r>
    </w:p>
    <w:p w:rsidR="008822B5" w:rsidRPr="00D823BE" w:rsidRDefault="008822B5" w:rsidP="00D823BE">
      <w:pPr>
        <w:pBdr>
          <w:top w:val="single" w:sz="6" w:space="1" w:color="auto"/>
          <w:left w:val="single" w:sz="6" w:space="4" w:color="auto"/>
          <w:bottom w:val="single" w:sz="6" w:space="1" w:color="auto"/>
          <w:right w:val="single" w:sz="6" w:space="4" w:color="auto"/>
        </w:pBdr>
        <w:ind w:firstLine="284"/>
        <w:jc w:val="both"/>
        <w:rPr>
          <w:sz w:val="28"/>
          <w:szCs w:val="28"/>
          <w:lang w:val="en-GB"/>
        </w:rPr>
      </w:pPr>
      <w:r w:rsidRPr="00D823BE">
        <w:rPr>
          <w:sz w:val="28"/>
          <w:szCs w:val="28"/>
          <w:lang w:val="en-GB"/>
        </w:rPr>
        <w:t xml:space="preserve">The article presents an analysis of the consumption of drugs by patients with acute leukemias in specialized health institutions of </w:t>
      </w:r>
      <w:smartTag w:uri="urn:schemas-microsoft-com:office:smarttags" w:element="place">
        <w:r w:rsidRPr="00D823BE">
          <w:rPr>
            <w:sz w:val="28"/>
            <w:szCs w:val="28"/>
            <w:lang w:val="en-GB"/>
          </w:rPr>
          <w:t>Ukraine</w:t>
        </w:r>
      </w:smartTag>
      <w:r w:rsidRPr="00D823BE">
        <w:rPr>
          <w:sz w:val="28"/>
          <w:szCs w:val="28"/>
          <w:lang w:val="en-GB"/>
        </w:rPr>
        <w:t>. A patient with acute lymphocytic leukemia by doctors was made almost twice as prescribing drugs than patients with acute myeloid leukemia. It was found that the structure of consumption of drugs dominated those names, which are necessary for pathogenetic treatment of acute leukemia.</w:t>
      </w:r>
      <w:r w:rsidRPr="00D823BE">
        <w:rPr>
          <w:lang w:val="en-GB"/>
        </w:rPr>
        <w:t xml:space="preserve"> </w:t>
      </w:r>
      <w:r w:rsidRPr="00D823BE">
        <w:rPr>
          <w:sz w:val="28"/>
          <w:szCs w:val="28"/>
          <w:lang w:val="en-GB"/>
        </w:rPr>
        <w:t>Thus, anticancer drugs are one of three leaders as the frequency of medical prescriptions and on the amount of consumption of drugs.</w:t>
      </w:r>
      <w:r w:rsidRPr="00D823BE">
        <w:rPr>
          <w:lang w:val="en-GB"/>
        </w:rPr>
        <w:t xml:space="preserve"> </w:t>
      </w:r>
      <w:r w:rsidRPr="00D823BE">
        <w:rPr>
          <w:sz w:val="28"/>
          <w:szCs w:val="28"/>
          <w:lang w:val="en-GB"/>
        </w:rPr>
        <w:t>More than half of the resources were spent on the consumption of drugs, which are essential to meet the requirements of the legal framework, which regulates the organization of medical and pharmaceutical process providing patients with hematological malignancies.</w:t>
      </w:r>
      <w:r w:rsidRPr="00D823BE">
        <w:rPr>
          <w:lang w:val="en-GB"/>
        </w:rPr>
        <w:t xml:space="preserve"> </w:t>
      </w:r>
      <w:r w:rsidRPr="00D823BE">
        <w:rPr>
          <w:sz w:val="28"/>
          <w:szCs w:val="28"/>
          <w:lang w:val="en-GB"/>
        </w:rPr>
        <w:t>Given the fact that the vast majority of patients belonged to socially vulnerable groups of the population, the introduction of effective mechanisms to compensate for the cost of the high-value of anticancer drugs is presented as the main direction of enhancing the efficiency of pharmaceutical provision patients with hematological malignancies</w:t>
      </w:r>
    </w:p>
    <w:p w:rsidR="008822B5" w:rsidRPr="00D823BE" w:rsidRDefault="008822B5" w:rsidP="008A5CF1">
      <w:pPr>
        <w:pStyle w:val="tecst"/>
        <w:spacing w:line="360" w:lineRule="auto"/>
        <w:ind w:right="142" w:firstLine="708"/>
        <w:rPr>
          <w:sz w:val="28"/>
          <w:szCs w:val="28"/>
          <w:lang w:val="en-GB"/>
        </w:rPr>
      </w:pPr>
    </w:p>
    <w:p w:rsidR="008822B5" w:rsidRPr="00D823BE" w:rsidRDefault="008822B5" w:rsidP="008A5CF1">
      <w:pPr>
        <w:pStyle w:val="tecst"/>
        <w:spacing w:line="360" w:lineRule="auto"/>
        <w:ind w:right="142" w:firstLine="708"/>
        <w:rPr>
          <w:sz w:val="28"/>
          <w:szCs w:val="28"/>
          <w:lang w:val="en-GB"/>
        </w:rPr>
      </w:pPr>
      <w:r w:rsidRPr="00D823BE">
        <w:rPr>
          <w:sz w:val="28"/>
          <w:szCs w:val="28"/>
          <w:lang w:val="en-GB"/>
        </w:rPr>
        <w:t xml:space="preserve">The issue of rational use of limited resources in health care (HC) are current for any conditions of the economy and society. This is due to progressive growth of  requirements of citizens around the world to the effectiveness of medical care (MC) and pharmaceutical providing as the most important indicators that form a social stability in the country. </w:t>
      </w:r>
    </w:p>
    <w:p w:rsidR="008822B5" w:rsidRPr="00D823BE" w:rsidRDefault="008822B5" w:rsidP="008A5CF1">
      <w:pPr>
        <w:pStyle w:val="tecst"/>
        <w:spacing w:line="360" w:lineRule="auto"/>
        <w:ind w:right="142" w:firstLine="708"/>
        <w:rPr>
          <w:sz w:val="28"/>
          <w:szCs w:val="28"/>
          <w:lang w:val="en-GB"/>
        </w:rPr>
      </w:pPr>
      <w:r w:rsidRPr="00D823BE">
        <w:rPr>
          <w:sz w:val="28"/>
          <w:szCs w:val="28"/>
          <w:lang w:val="en-GB"/>
        </w:rPr>
        <w:t xml:space="preserve">Research of the rational use of limited resources of HC has become especially actual in conditions of progressive of financial crisis and mass poverty in </w:t>
      </w:r>
      <w:smartTag w:uri="urn:schemas-microsoft-com:office:smarttags" w:element="place">
        <w:r w:rsidRPr="00D823BE">
          <w:rPr>
            <w:sz w:val="28"/>
            <w:szCs w:val="28"/>
            <w:lang w:val="en-GB"/>
          </w:rPr>
          <w:t>Ukraine</w:t>
        </w:r>
      </w:smartTag>
      <w:r w:rsidRPr="00D823BE">
        <w:rPr>
          <w:sz w:val="28"/>
          <w:szCs w:val="28"/>
          <w:lang w:val="en-GB"/>
        </w:rPr>
        <w:t xml:space="preserve">.  The declared by state guarantees about providing of effective MC and available medicines for centralized programs are not met in full because of objective reasons. The experience of social-developed countries and the results of numerous scientific studies shows that one of the solutions to complex problems in the domestic HC is the introduction of compulsory medical insurance (CMI). Effectiveness of insurance relations in practical public health depends on the action of a complex of factors and the scientific substantiation of rational models of pharmaceutical providing occupies not the last position. Introduction of methods of clinical and economic analysis (CEA) has particular relevance as modern tools in pharmaceutical providing of patients with leukemia, which are required a full and timely meet the need for high-cost medicines. Thus, the purpose of the work was conducting of </w:t>
      </w:r>
      <w:r w:rsidRPr="00D823BE">
        <w:rPr>
          <w:color w:val="auto"/>
          <w:sz w:val="28"/>
          <w:szCs w:val="28"/>
          <w:lang w:val="en-GB"/>
        </w:rPr>
        <w:t>CEA of</w:t>
      </w:r>
      <w:r w:rsidRPr="00D823BE">
        <w:rPr>
          <w:sz w:val="28"/>
          <w:szCs w:val="28"/>
          <w:lang w:val="en-GB"/>
        </w:rPr>
        <w:t xml:space="preserve"> actual consumption of medicines by patients with acute lymphoid and myeloid leukemia who held a chemotherapy (CT) in specialized health care facilities (HCF) of </w:t>
      </w:r>
      <w:smartTag w:uri="urn:schemas-microsoft-com:office:smarttags" w:element="place">
        <w:r w:rsidRPr="00D823BE">
          <w:rPr>
            <w:sz w:val="28"/>
            <w:szCs w:val="28"/>
            <w:lang w:val="en-GB"/>
          </w:rPr>
          <w:t>Ukraine</w:t>
        </w:r>
      </w:smartTag>
      <w:r w:rsidRPr="00D823BE">
        <w:rPr>
          <w:sz w:val="28"/>
          <w:szCs w:val="28"/>
          <w:lang w:val="en-GB"/>
        </w:rPr>
        <w:t>.</w:t>
      </w:r>
    </w:p>
    <w:p w:rsidR="008822B5" w:rsidRPr="00D823BE" w:rsidRDefault="008822B5" w:rsidP="008A5CF1">
      <w:pPr>
        <w:pStyle w:val="tecst"/>
        <w:spacing w:line="360" w:lineRule="auto"/>
        <w:ind w:right="142" w:firstLine="284"/>
        <w:rPr>
          <w:sz w:val="28"/>
          <w:szCs w:val="28"/>
          <w:lang w:val="en-GB"/>
        </w:rPr>
      </w:pPr>
      <w:r w:rsidRPr="00D823BE">
        <w:rPr>
          <w:sz w:val="28"/>
          <w:szCs w:val="28"/>
          <w:lang w:val="en-GB"/>
        </w:rPr>
        <w:t>To achieve the purpose of the work next tasks were identified: to make a statistical evaluation of the totality of patients by various parameters of the research; to conduct a frequency analysis of doctor’s prescriptions  by different levels of ATC classification system (http://compendium.com.ua/atc); to calculate and conduct structural analysis of the actual consumption of medicines by patients with acute lymphoid leukemia (ALL) and acute myeloid leukemia (AML); to conduct ABC, VEN and integrated ABC / VEN-analysis of indicator of medicines consumption; to outline the directions for perspective studies towards improving the efficiency of pharmaceutical providing of this group of blood cancer patients.</w:t>
      </w:r>
    </w:p>
    <w:p w:rsidR="008822B5" w:rsidRPr="00D823BE" w:rsidRDefault="008822B5" w:rsidP="00010D6E">
      <w:pPr>
        <w:tabs>
          <w:tab w:val="left" w:pos="0"/>
        </w:tabs>
        <w:spacing w:line="360" w:lineRule="auto"/>
        <w:jc w:val="both"/>
        <w:rPr>
          <w:sz w:val="28"/>
          <w:szCs w:val="28"/>
          <w:lang w:val="en-GB"/>
        </w:rPr>
      </w:pPr>
      <w:r w:rsidRPr="00D823BE">
        <w:rPr>
          <w:b/>
          <w:bCs/>
          <w:sz w:val="28"/>
          <w:szCs w:val="28"/>
          <w:lang w:val="en-GB"/>
        </w:rPr>
        <w:t>Materials and methods.</w:t>
      </w:r>
      <w:r w:rsidRPr="00D823BE">
        <w:rPr>
          <w:sz w:val="28"/>
          <w:szCs w:val="28"/>
          <w:lang w:val="en-GB"/>
        </w:rPr>
        <w:t xml:space="preserve">  Randomly two conditional groups of patients with acute forms of leukemia that came to specialized HCF (5 regional oncology clinics of Ukraine throughout 2007-2013) in the acute stage of the pathological process, or in the case of newly detected ALL (I group patients) and AML (second group) were formed. Subsequently, from 267 health cards (HCds) were selected those that have marks about improvement of patient healh in the HCds. Total selected HCds were 169, of which 74 (43.8%) belonged to ALL patients and 95 (56.2%) to the patients with a diagnosis of AML.</w:t>
      </w:r>
    </w:p>
    <w:p w:rsidR="008822B5" w:rsidRPr="00D823BE" w:rsidRDefault="008822B5" w:rsidP="008A5CF1">
      <w:pPr>
        <w:tabs>
          <w:tab w:val="left" w:pos="0"/>
        </w:tabs>
        <w:spacing w:line="360" w:lineRule="auto"/>
        <w:jc w:val="both"/>
        <w:rPr>
          <w:sz w:val="28"/>
          <w:szCs w:val="28"/>
          <w:lang w:val="en-GB"/>
        </w:rPr>
      </w:pPr>
      <w:r w:rsidRPr="00D823BE">
        <w:rPr>
          <w:sz w:val="28"/>
          <w:szCs w:val="28"/>
          <w:lang w:val="en-GB"/>
        </w:rPr>
        <w:tab/>
        <w:t>The main tools in research methods of CEA became. First, the frequency analysis involves determining of the medicines’ prescriptions frequency according to doctor’s prescriptions  lists. According to ABC-analysis of all medicines are divided in terms of their costs into three groups: A - the most expensive drugs (80.0% of the total consumption of medicines over time); B - middlecost (15.0%); C - low-cost medicines (5.0%).</w:t>
      </w:r>
    </w:p>
    <w:p w:rsidR="008822B5" w:rsidRPr="00D823BE" w:rsidRDefault="008822B5" w:rsidP="008A5CF1">
      <w:pPr>
        <w:tabs>
          <w:tab w:val="left" w:pos="0"/>
        </w:tabs>
        <w:spacing w:line="360" w:lineRule="auto"/>
        <w:jc w:val="both"/>
        <w:rPr>
          <w:sz w:val="28"/>
          <w:szCs w:val="28"/>
          <w:lang w:val="en-GB"/>
        </w:rPr>
      </w:pPr>
      <w:r w:rsidRPr="00D823BE">
        <w:rPr>
          <w:sz w:val="28"/>
          <w:szCs w:val="28"/>
          <w:lang w:val="en-GB"/>
        </w:rPr>
        <w:t xml:space="preserve">When VEN-analysis in determining the possible inclusion of medicinec in groups we used a formal approach. Thus, to the group V medicines that were part of the National list of basic medicines and medical products (Resolution of CMU from 25.03.2009. №333 (http://www.ua-tenders.com), the Budget list of medicines (Resolution of CMU from 05/09/1996 p. №1071 «On procedure of procurement of drugs by establishments and health institutions financed from the budget" amended in accordance with the orders of the Ministry of Health of Ukraine of 27.08.2010  №631, 26.04.2011 №170, 5.03.2012 №79, 7.03.2013, №105 (http://www.apteka.ua)., State Formulary of the drug that corresponded to years of treatment (http: //www.dec. gov.ua/), and protocols of medical aid of the specialty "Hematology" (ICD-10: С91.0, С91.5 ICD-10: С92.0, С92.4, С92.5, С93.0, С94.0, С94.2) were attributed. </w:t>
      </w:r>
    </w:p>
    <w:p w:rsidR="008822B5" w:rsidRPr="00D823BE" w:rsidRDefault="008822B5" w:rsidP="000A7F0C">
      <w:pPr>
        <w:spacing w:line="360" w:lineRule="auto"/>
        <w:jc w:val="both"/>
        <w:rPr>
          <w:sz w:val="28"/>
          <w:szCs w:val="28"/>
          <w:lang w:val="en-GB"/>
        </w:rPr>
      </w:pPr>
      <w:r w:rsidRPr="00D823BE">
        <w:rPr>
          <w:sz w:val="28"/>
          <w:szCs w:val="28"/>
          <w:lang w:val="en-GB"/>
        </w:rPr>
        <w:tab/>
        <w:t>To the group E -  the names of medicines, that were absent in the National list of basic medicines and medical products and present in all other documents, and to the group N all other names of medicines were included [1,3,5]. The integrated ABC / VEN-consumption analysis was carried out as in the value terms, so and in quantitative terms by the international non-proprietary name (</w:t>
      </w:r>
      <w:smartTag w:uri="urn:schemas-microsoft-com:office:smarttags" w:element="place">
        <w:r w:rsidRPr="00D823BE">
          <w:rPr>
            <w:sz w:val="28"/>
            <w:szCs w:val="28"/>
            <w:lang w:val="en-GB"/>
          </w:rPr>
          <w:t>INN</w:t>
        </w:r>
      </w:smartTag>
      <w:r w:rsidRPr="00D823BE">
        <w:rPr>
          <w:sz w:val="28"/>
          <w:szCs w:val="28"/>
          <w:lang w:val="en-GB"/>
        </w:rPr>
        <w:t>) of drugs. As a result of CEA of consumption of drugs by patients with ALL and AML we have built several matrix projection in which each drug at INN received status, such as A / V, A / E, A / N, B / V, B / E, C / V, C / E [1,3].</w:t>
      </w:r>
    </w:p>
    <w:p w:rsidR="008822B5" w:rsidRPr="00D823BE" w:rsidRDefault="008822B5" w:rsidP="000A7F0C">
      <w:pPr>
        <w:spacing w:line="360" w:lineRule="auto"/>
        <w:jc w:val="both"/>
        <w:rPr>
          <w:sz w:val="28"/>
          <w:szCs w:val="28"/>
          <w:lang w:val="en-GB"/>
        </w:rPr>
      </w:pPr>
      <w:r w:rsidRPr="00D823BE">
        <w:rPr>
          <w:sz w:val="28"/>
          <w:szCs w:val="28"/>
          <w:lang w:val="en-GB"/>
        </w:rPr>
        <w:t>Calculations of drug consumption had been conducted in average retail prices, which were determined by the method that was proposed by domestic scientists organizers [2].</w:t>
      </w:r>
    </w:p>
    <w:p w:rsidR="008822B5" w:rsidRPr="00D823BE" w:rsidRDefault="008822B5" w:rsidP="000A7F0C">
      <w:pPr>
        <w:spacing w:line="360" w:lineRule="auto"/>
        <w:jc w:val="both"/>
        <w:rPr>
          <w:sz w:val="28"/>
          <w:szCs w:val="28"/>
          <w:lang w:val="en-GB"/>
        </w:rPr>
      </w:pPr>
      <w:r w:rsidRPr="00D823BE">
        <w:rPr>
          <w:sz w:val="28"/>
          <w:szCs w:val="28"/>
          <w:lang w:val="en-GB"/>
        </w:rPr>
        <w:t xml:space="preserve">Processing of statistical data was carried out using spreadsheet Microsoft Office Excel 2010 and standard applications applied statistical analysis Statistica 6.0 (software license V.7. English - V.6 </w:t>
      </w:r>
      <w:smartTag w:uri="urn:schemas-microsoft-com:office:smarttags" w:element="place">
        <w:r w:rsidRPr="00D823BE">
          <w:rPr>
            <w:sz w:val="28"/>
            <w:szCs w:val="28"/>
            <w:lang w:val="en-GB"/>
          </w:rPr>
          <w:t>Russia</w:t>
        </w:r>
      </w:smartTag>
      <w:r w:rsidRPr="00D823BE">
        <w:rPr>
          <w:sz w:val="28"/>
          <w:szCs w:val="28"/>
          <w:lang w:val="en-GB"/>
        </w:rPr>
        <w:t xml:space="preserve"> K 892818) [4].</w:t>
      </w:r>
    </w:p>
    <w:p w:rsidR="008822B5" w:rsidRPr="00D823BE" w:rsidRDefault="008822B5" w:rsidP="000A7F0C">
      <w:pPr>
        <w:spacing w:line="360" w:lineRule="auto"/>
        <w:jc w:val="both"/>
        <w:rPr>
          <w:sz w:val="28"/>
          <w:szCs w:val="28"/>
          <w:lang w:val="en-GB"/>
        </w:rPr>
      </w:pPr>
      <w:r w:rsidRPr="00D823BE">
        <w:rPr>
          <w:b/>
          <w:bCs/>
          <w:sz w:val="28"/>
          <w:szCs w:val="28"/>
          <w:lang w:val="en-GB"/>
        </w:rPr>
        <w:t>Results and discussion.</w:t>
      </w:r>
      <w:r w:rsidRPr="00D823BE">
        <w:rPr>
          <w:sz w:val="28"/>
          <w:szCs w:val="28"/>
          <w:lang w:val="en-GB"/>
        </w:rPr>
        <w:t xml:space="preserve"> At the first stage of research we analyzed the patients together on various parameters (age, sex, social status, place of residence, presence of comorbidities). It was founded that in the first and second groups more than half of patients belonging to women (42 patients or 56.8% of ALL group and 55 patients or 57.9% of AML group). Analyzing a set of patients at their place of residence it was revealed that the vast majority of patients were townspeople (I group - 91.7% and in the second group - 86.7% of patients). In the first group the share (%) of employees amounted to 41.67% and in group II  - 37.8%. Overall the % of the most vulnerable segments of the population (pensioners, currently unemployed, disabled of I and II groups) were 58.33% (ALL) and 62.2% (AML). The largest number of patients with ALL was presented in the age group of 31 to 40 years (16 patients or 21.5%), and the AML - from 61 to 70 years (24 - 25.3%).</w:t>
      </w:r>
    </w:p>
    <w:p w:rsidR="008822B5" w:rsidRPr="00D823BE" w:rsidRDefault="008822B5" w:rsidP="000A7F0C">
      <w:pPr>
        <w:spacing w:line="360" w:lineRule="auto"/>
        <w:jc w:val="both"/>
        <w:rPr>
          <w:sz w:val="28"/>
          <w:szCs w:val="28"/>
          <w:lang w:val="en-GB"/>
        </w:rPr>
      </w:pPr>
      <w:r w:rsidRPr="00D823BE">
        <w:rPr>
          <w:sz w:val="28"/>
          <w:szCs w:val="28"/>
          <w:lang w:val="en-GB"/>
        </w:rPr>
        <w:t>Leukemia as a systemic disease is characterized by availability of burdensome history of patients. Thus, 64 patients (86.5%) of I group and 81 (85.3%) of the II analyzed group than primary analysis had a wide range of related diseases. The first position in the frequency of display in the HCds of I group patients took coronary heart disease, and in the II group - hypertensive heart disease. It should be noted that in the second group of patients, there are more pathological health problems (202 pathologies) compared with patients with group I (144 pathologies).</w:t>
      </w:r>
    </w:p>
    <w:p w:rsidR="008822B5" w:rsidRPr="00D823BE" w:rsidRDefault="008822B5" w:rsidP="000A7F0C">
      <w:pPr>
        <w:spacing w:line="360" w:lineRule="auto"/>
        <w:jc w:val="both"/>
        <w:rPr>
          <w:sz w:val="28"/>
          <w:szCs w:val="28"/>
          <w:lang w:val="en-GB"/>
        </w:rPr>
      </w:pPr>
      <w:r w:rsidRPr="00D823BE">
        <w:rPr>
          <w:sz w:val="28"/>
          <w:szCs w:val="28"/>
          <w:lang w:val="en-GB"/>
        </w:rPr>
        <w:t>Further, an analysis of the frequency of medicines  prescriptions  to I and II patients group had been conducted. Totally for  patients of I group had been used 120 names of medicines by INN and had been made 4983 doctor’s prescriptions, in terms of  for one patient prescriptions  were 67 medicines. In the second group 132 medicines by INN had been prescribed  by doctors 2722 times, that per AML patient amounted to an average of 29 doctor’s prescriptions . As you can see, the frequency of medicines prescriptions  that was calculated for one patient with ALL was 2.3 times higher than in patients with AML.</w:t>
      </w:r>
    </w:p>
    <w:p w:rsidR="008822B5" w:rsidRPr="00D823BE" w:rsidRDefault="008822B5" w:rsidP="000A7F0C">
      <w:pPr>
        <w:spacing w:line="360" w:lineRule="auto"/>
        <w:jc w:val="both"/>
        <w:rPr>
          <w:sz w:val="28"/>
          <w:szCs w:val="28"/>
          <w:lang w:val="en-GB"/>
        </w:rPr>
      </w:pPr>
      <w:r w:rsidRPr="00D823BE">
        <w:rPr>
          <w:sz w:val="28"/>
          <w:szCs w:val="28"/>
          <w:lang w:val="en-GB"/>
        </w:rPr>
        <w:t>Analyzing the frequency of medicines prescriptions  for the first and second levels of ATC classification system, we have identified three leading pharmacotherapeutic groups of medicines. Thus, the first level of classification theI group of patients three leaders by the number of prescriptions  were: L- Antineoplastic and immunomodulating agents (28.0% of all prescriptions for patients); B- Medications of Blood and blood forming organs (25.59%); A- Medications influencing on the digestive system and metabolism (21.37%). For the II group of patients the first three positions of the prescribed  drugs had took: B - Medications of Blood and blood forming organs (27.19%); A - Medications influencing on the digestive system and metabolism (18.88%); L - Antineoplastic and immunomodulating agents (18.08%). That is, only 3 of the 13 groups of  drugs, which are presented in ATC classification had place in prescriptions  for patients with ALL 74.96% and 64.15 AML% of total doctor’s prescriptions .</w:t>
      </w:r>
    </w:p>
    <w:p w:rsidR="008822B5" w:rsidRPr="00D823BE" w:rsidRDefault="008822B5" w:rsidP="000A7F0C">
      <w:pPr>
        <w:spacing w:line="360" w:lineRule="auto"/>
        <w:jc w:val="both"/>
        <w:rPr>
          <w:sz w:val="28"/>
          <w:szCs w:val="28"/>
          <w:lang w:val="en-GB"/>
        </w:rPr>
      </w:pPr>
      <w:r w:rsidRPr="00D823BE">
        <w:rPr>
          <w:sz w:val="28"/>
          <w:szCs w:val="28"/>
          <w:lang w:val="en-GB"/>
        </w:rPr>
        <w:t>About the second level ATC classification, three groups of leaders in patients with ALL were: L01  - Antineoplastic and immunomodulating agents (27.09% of total medicines prescriptions ); B05-Blood substitutes and perfusion solutions (21.07%); C01- Drugs for the treatment of heart disease (5.83%). Patients with AML often received drugs from the following groups: B05-Blood substitutes and perfusion solutions (21.16%); L01-  Antineoplastic and immunomodulating agents (17.78%); J01- Antibacterial for systemic use (9.26%). Comparing the frequency of prescriptions  of different groups of drugs it can be said about the pathogenetic character of the therapy that was conducted for patients with acute leukemia at HCF, especially for intensive courses of chemotherapy using active perfusion solutions. In addition, an important place in the treatment of patients was paid to eliminate the side effects of drugs, the effects of the pathological process and treatment of comorbidities that threaten the lives of patients.</w:t>
      </w:r>
    </w:p>
    <w:p w:rsidR="008822B5" w:rsidRPr="00D823BE" w:rsidRDefault="008822B5" w:rsidP="000A7F0C">
      <w:pPr>
        <w:spacing w:line="360" w:lineRule="auto"/>
        <w:jc w:val="both"/>
        <w:rPr>
          <w:sz w:val="28"/>
          <w:szCs w:val="28"/>
          <w:lang w:val="en-GB"/>
        </w:rPr>
      </w:pPr>
      <w:r w:rsidRPr="00D823BE">
        <w:rPr>
          <w:sz w:val="28"/>
          <w:szCs w:val="28"/>
          <w:lang w:val="en-GB"/>
        </w:rPr>
        <w:t>According to the INN, patients with ALL mostly were prescribed  with such name of medicines (first three positions): sodium chloride sol. for inf. 0.9% 200 ml (528 prescriptions  or 10.60% of all in the group); rheosorbilactum sol. for inf., bottles 200 ml (180 abo3,61%); sodium chloride sol. for inf. 0.9% 400 ml (177 or 3,55%). For patients with AML three leaders were: sodium chloride sol. for inf.. 0.9% 200 ml (362 prescriptions  or 13.30% of the group on frequency); mildronat sol. for inj. 10% , amp. 5 ml and profile pkg., № 10% (108 or 3.97%); cytosar liofil. pow.  for inj. 100 mg vial. with solu. in amp. 5 ml, № 1 (80 or 2.94%). An interesting analysis of frequency of prescriptions  of anticancer drugs (AD). Thus, patients with ALL often were appointed with drugs of vincristine (96 prescriptions  or 6.89% of prescriptions  of AD). The second position was taken drugs of cytarabine (69 prescriptions , or 4.95%, respectively), and the third - mercaptopurine (57 prescriptions  or 4.09%). In patients with AML undisputed leader in terms of prescriptions  became cytarabine (1116 prescriptions  or 23.58%), followed by a significant margin was submitted idarubicin (32 appointment or 6.5%) and doxorubicin and tretionin (by appointment 24 or 4.88% each respectively).</w:t>
      </w:r>
    </w:p>
    <w:p w:rsidR="008822B5" w:rsidRPr="00D823BE" w:rsidRDefault="008822B5" w:rsidP="000A7F0C">
      <w:pPr>
        <w:spacing w:line="360" w:lineRule="auto"/>
        <w:jc w:val="both"/>
        <w:rPr>
          <w:sz w:val="28"/>
          <w:szCs w:val="28"/>
          <w:lang w:val="en-GB"/>
        </w:rPr>
      </w:pPr>
      <w:r w:rsidRPr="00D823BE">
        <w:rPr>
          <w:sz w:val="28"/>
          <w:szCs w:val="28"/>
          <w:lang w:val="en-GB"/>
        </w:rPr>
        <w:t>For I group of patients the overall rate of consumption of medicines was 2,251,437.93 UAH (US $ 281,781.97 by NBU rate that effect at the time of treatment), and group II - 1,736,304.6 UAH or 35,266.83 USD. In terms of consumption per ALL patient  it was 30,424.84 UAH (3,807.86 USD), and AML -  18,276.89 UAH (2,287.47  USD). In the structure of consumption of drugs for the I group of patients occupied the first three positions of the following drugs: Cyclophosphan (cyclophosphamide by INN) pow. for sol. for inj. 200 mg vial (425,385.0 UAH or 18.89% of the total consumption of the drugs); Epreks (erythropoietin) 2000 UA/ ml. amp. (219,603.30 UAH or 9.75%); Vifend (voriconazole) tab. 200 mg №14 (210195,0 UAH or 9.34%). For patients with AML the largest share in consumption (first three positions) the following drugshad: Cytosar (cytarabine) liofil. pow. for inj. 100 mg vial. with sol. in amp. 5 ml, № 1 (357,634.80 UAH or 20.60%); Zavedos (idarubicin) cap. 10 mg vial, №1 (217150,24 UAH or 12.51%); Meronem (Meronem) pow. for sol. 1000 mg vial., № 10 (75419.96 UAH or 4.34%).</w:t>
      </w:r>
    </w:p>
    <w:p w:rsidR="008822B5" w:rsidRPr="00D823BE" w:rsidRDefault="008822B5" w:rsidP="000A7F0C">
      <w:pPr>
        <w:spacing w:line="360" w:lineRule="auto"/>
        <w:jc w:val="both"/>
        <w:rPr>
          <w:sz w:val="28"/>
          <w:szCs w:val="28"/>
          <w:lang w:val="en-GB"/>
        </w:rPr>
      </w:pPr>
      <w:r w:rsidRPr="00D823BE">
        <w:rPr>
          <w:sz w:val="28"/>
          <w:szCs w:val="28"/>
          <w:lang w:val="en-GB"/>
        </w:rPr>
        <w:t>It is founded that in I group of patients’ consumption of AD was equal to the value of 1,089,345.18 USD (14720.88 UAH / person.), representing 48.38% of the total consumption of medicines. In the II group of patients the proportion of the costs of AD consumption were comparatively higher and amounted to 58.44% (1,014,695.94 UAH or 10681.01 UAH / person.) (Table 1).</w:t>
      </w:r>
    </w:p>
    <w:p w:rsidR="008822B5" w:rsidRPr="00D823BE" w:rsidRDefault="008822B5" w:rsidP="000A7F0C">
      <w:pPr>
        <w:spacing w:line="360" w:lineRule="auto"/>
        <w:jc w:val="both"/>
        <w:rPr>
          <w:sz w:val="28"/>
          <w:szCs w:val="28"/>
          <w:lang w:val="en-GB"/>
        </w:rPr>
      </w:pPr>
      <w:r w:rsidRPr="00D823BE">
        <w:rPr>
          <w:sz w:val="28"/>
          <w:szCs w:val="28"/>
          <w:lang w:val="en-GB"/>
        </w:rPr>
        <w:t>As a result, ABC-analysis had been founded that in the structure of consumption of medicines by ALL patients in group A there were 15 names on INN or 28 trade names of medicines (1786807.5 UAH), B – 15 medicines or 28 trade names of drugs (352,278.63 UAH) , C - 90 medicines by INN or 110 trade names  of medicines (112,351.80 UAH). From AD in the group A were represented: 7 medicines by INN or 12 trade names of  drugs (1,044,871.65 UAH); group B - 2 medicines in 2 brand names (43,530.36 UAH); C -1 INN in 3 trade names (943.17 UAH).</w:t>
      </w:r>
    </w:p>
    <w:p w:rsidR="008822B5" w:rsidRPr="00D823BE" w:rsidRDefault="008822B5" w:rsidP="008A5CF1">
      <w:pPr>
        <w:pStyle w:val="1"/>
        <w:autoSpaceDE w:val="0"/>
        <w:autoSpaceDN w:val="0"/>
        <w:adjustRightInd w:val="0"/>
        <w:spacing w:line="360" w:lineRule="auto"/>
        <w:ind w:left="142" w:right="142"/>
        <w:jc w:val="right"/>
        <w:textAlignment w:val="center"/>
        <w:rPr>
          <w:color w:val="000000"/>
          <w:sz w:val="28"/>
          <w:szCs w:val="28"/>
          <w:lang w:val="en-GB" w:eastAsia="en-US"/>
        </w:rPr>
      </w:pPr>
      <w:r>
        <w:rPr>
          <w:sz w:val="28"/>
          <w:szCs w:val="28"/>
          <w:lang w:val="en-GB"/>
        </w:rPr>
        <w:br w:type="page"/>
      </w:r>
      <w:r w:rsidRPr="00D823BE">
        <w:rPr>
          <w:sz w:val="28"/>
          <w:szCs w:val="28"/>
          <w:lang w:val="en-GB"/>
        </w:rPr>
        <w:t xml:space="preserve">Table </w:t>
      </w:r>
      <w:r w:rsidRPr="00D823BE">
        <w:rPr>
          <w:color w:val="000000"/>
          <w:sz w:val="28"/>
          <w:szCs w:val="28"/>
          <w:lang w:val="en-GB" w:eastAsia="en-US"/>
        </w:rPr>
        <w:t>1</w:t>
      </w:r>
    </w:p>
    <w:p w:rsidR="008822B5" w:rsidRPr="00D823BE" w:rsidRDefault="008822B5" w:rsidP="008A5CF1">
      <w:pPr>
        <w:jc w:val="center"/>
        <w:rPr>
          <w:b/>
          <w:bCs/>
          <w:sz w:val="28"/>
          <w:szCs w:val="28"/>
          <w:lang w:val="en-GB"/>
        </w:rPr>
      </w:pPr>
      <w:r w:rsidRPr="00D823BE">
        <w:rPr>
          <w:b/>
          <w:bCs/>
          <w:spacing w:val="-2"/>
          <w:sz w:val="28"/>
          <w:szCs w:val="28"/>
          <w:lang w:val="en-GB"/>
        </w:rPr>
        <w:t>Analysis of patients with leukemias consumption of drugs from the group L01 - anticancer drugs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5"/>
        <w:gridCol w:w="3114"/>
        <w:gridCol w:w="2042"/>
      </w:tblGrid>
      <w:tr w:rsidR="008822B5" w:rsidRPr="00D823BE">
        <w:tc>
          <w:tcPr>
            <w:tcW w:w="2306" w:type="pct"/>
            <w:vMerge w:val="restart"/>
          </w:tcPr>
          <w:p w:rsidR="008822B5" w:rsidRPr="00D823BE" w:rsidRDefault="008822B5" w:rsidP="007D3C40">
            <w:pPr>
              <w:pStyle w:val="1"/>
              <w:autoSpaceDE w:val="0"/>
              <w:autoSpaceDN w:val="0"/>
              <w:adjustRightInd w:val="0"/>
              <w:ind w:right="142"/>
              <w:textAlignment w:val="center"/>
              <w:rPr>
                <w:color w:val="000000"/>
                <w:lang w:val="en-GB" w:eastAsia="en-US"/>
              </w:rPr>
            </w:pPr>
            <w:r w:rsidRPr="00D823BE">
              <w:rPr>
                <w:color w:val="000000"/>
                <w:sz w:val="22"/>
                <w:szCs w:val="22"/>
                <w:lang w:val="en-GB" w:eastAsia="en-US"/>
              </w:rPr>
              <w:t>ATC groups of drugs by ATC classification system</w:t>
            </w:r>
          </w:p>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(code, name of the group), INN of drugs</w:t>
            </w:r>
          </w:p>
        </w:tc>
        <w:tc>
          <w:tcPr>
            <w:tcW w:w="2694" w:type="pct"/>
            <w:gridSpan w:val="2"/>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sz w:val="22"/>
                <w:szCs w:val="22"/>
                <w:lang w:val="en-GB" w:eastAsia="en-US"/>
              </w:rPr>
              <w:t>Structure of consumption</w:t>
            </w:r>
          </w:p>
        </w:tc>
      </w:tr>
      <w:tr w:rsidR="008822B5" w:rsidRPr="00D823BE">
        <w:tc>
          <w:tcPr>
            <w:tcW w:w="2306" w:type="pct"/>
            <w:vMerge/>
          </w:tcPr>
          <w:p w:rsidR="008822B5" w:rsidRPr="00D823BE" w:rsidRDefault="008822B5" w:rsidP="007D3C40">
            <w:pPr>
              <w:pStyle w:val="1"/>
              <w:autoSpaceDE w:val="0"/>
              <w:autoSpaceDN w:val="0"/>
              <w:adjustRightInd w:val="0"/>
              <w:ind w:left="0" w:right="142"/>
              <w:textAlignment w:val="center"/>
              <w:rPr>
                <w:color w:val="000000"/>
                <w:lang w:val="en-GB" w:eastAsia="en-US"/>
              </w:rPr>
            </w:pPr>
          </w:p>
        </w:tc>
        <w:tc>
          <w:tcPr>
            <w:tcW w:w="1627" w:type="pct"/>
          </w:tcPr>
          <w:p w:rsidR="008822B5" w:rsidRPr="00D823BE" w:rsidRDefault="008822B5" w:rsidP="007D3C40">
            <w:pPr>
              <w:autoSpaceDE w:val="0"/>
              <w:autoSpaceDN w:val="0"/>
              <w:adjustRightInd w:val="0"/>
              <w:ind w:right="142"/>
              <w:jc w:val="center"/>
              <w:textAlignment w:val="center"/>
              <w:rPr>
                <w:color w:val="000000"/>
                <w:lang w:val="en-GB" w:eastAsia="en-US"/>
              </w:rPr>
            </w:pPr>
            <w:r w:rsidRPr="00D823BE">
              <w:rPr>
                <w:color w:val="000000"/>
                <w:sz w:val="22"/>
                <w:szCs w:val="22"/>
                <w:lang w:val="en-GB" w:eastAsia="en-US"/>
              </w:rPr>
              <w:t>Consumption, UAH</w:t>
            </w:r>
          </w:p>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sz w:val="22"/>
                <w:szCs w:val="22"/>
                <w:lang w:val="en-GB" w:eastAsia="en-US"/>
              </w:rPr>
              <w:t>(ALL/AML)</w:t>
            </w:r>
          </w:p>
        </w:tc>
        <w:tc>
          <w:tcPr>
            <w:tcW w:w="1067" w:type="pct"/>
          </w:tcPr>
          <w:p w:rsidR="008822B5" w:rsidRPr="00D823BE" w:rsidRDefault="008822B5" w:rsidP="007D3C40">
            <w:pPr>
              <w:autoSpaceDE w:val="0"/>
              <w:autoSpaceDN w:val="0"/>
              <w:adjustRightInd w:val="0"/>
              <w:ind w:right="142"/>
              <w:jc w:val="center"/>
              <w:textAlignment w:val="center"/>
              <w:rPr>
                <w:color w:val="000000"/>
                <w:lang w:val="en-GB" w:eastAsia="en-US"/>
              </w:rPr>
            </w:pPr>
            <w:r w:rsidRPr="00D823BE">
              <w:rPr>
                <w:color w:val="000000"/>
                <w:sz w:val="22"/>
                <w:szCs w:val="22"/>
                <w:lang w:val="en-GB" w:eastAsia="en-US"/>
              </w:rPr>
              <w:t>Питома вага %,</w:t>
            </w:r>
          </w:p>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sz w:val="22"/>
                <w:szCs w:val="22"/>
                <w:lang w:val="en-GB" w:eastAsia="en-US"/>
              </w:rPr>
              <w:t>(ALL/AML)</w:t>
            </w:r>
          </w:p>
        </w:tc>
      </w:tr>
      <w:tr w:rsidR="008822B5" w:rsidRPr="00D823BE">
        <w:trPr>
          <w:trHeight w:val="313"/>
        </w:trPr>
        <w:tc>
          <w:tcPr>
            <w:tcW w:w="2306"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sz w:val="22"/>
                <w:szCs w:val="22"/>
                <w:lang w:val="en-GB" w:eastAsia="en-US"/>
              </w:rPr>
              <w:t>1</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sz w:val="28"/>
                <w:szCs w:val="28"/>
                <w:lang w:val="en-GB" w:eastAsia="en-US"/>
              </w:rPr>
              <w:t>2</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sz w:val="28"/>
                <w:szCs w:val="28"/>
                <w:lang w:val="en-GB" w:eastAsia="en-US"/>
              </w:rPr>
              <w:t>3</w:t>
            </w:r>
          </w:p>
        </w:tc>
      </w:tr>
      <w:tr w:rsidR="008822B5" w:rsidRPr="00D823BE">
        <w:tc>
          <w:tcPr>
            <w:tcW w:w="5000" w:type="pct"/>
            <w:gridSpan w:val="3"/>
          </w:tcPr>
          <w:p w:rsidR="008822B5" w:rsidRPr="00D823BE" w:rsidRDefault="008822B5" w:rsidP="007D3C40">
            <w:pPr>
              <w:jc w:val="center"/>
              <w:rPr>
                <w:b/>
                <w:bCs/>
                <w:u w:val="single"/>
                <w:lang w:val="en-GB"/>
              </w:rPr>
            </w:pPr>
            <w:r w:rsidRPr="00D823BE">
              <w:rPr>
                <w:b/>
                <w:bCs/>
                <w:sz w:val="22"/>
                <w:szCs w:val="22"/>
                <w:u w:val="single"/>
                <w:lang w:val="en-GB"/>
              </w:rPr>
              <w:t>L01 – Anticancer drugs</w:t>
            </w:r>
          </w:p>
          <w:p w:rsidR="008822B5" w:rsidRPr="00D823BE" w:rsidRDefault="008822B5" w:rsidP="00C477F6">
            <w:pPr>
              <w:pStyle w:val="1"/>
              <w:autoSpaceDE w:val="0"/>
              <w:autoSpaceDN w:val="0"/>
              <w:adjustRightInd w:val="0"/>
              <w:ind w:left="0" w:right="142"/>
              <w:textAlignment w:val="center"/>
              <w:rPr>
                <w:color w:val="000000"/>
                <w:lang w:val="en-GB" w:eastAsia="en-US"/>
              </w:rPr>
            </w:pPr>
            <w:r w:rsidRPr="00D823BE">
              <w:rPr>
                <w:b/>
                <w:bCs/>
                <w:sz w:val="22"/>
                <w:szCs w:val="22"/>
                <w:lang w:val="en-GB"/>
              </w:rPr>
              <w:t xml:space="preserve">                                                  L01Alkylating agents</w:t>
            </w:r>
          </w:p>
        </w:tc>
      </w:tr>
      <w:tr w:rsidR="008822B5" w:rsidRPr="00D823BE">
        <w:tc>
          <w:tcPr>
            <w:tcW w:w="2306" w:type="pct"/>
          </w:tcPr>
          <w:p w:rsidR="008822B5" w:rsidRPr="00D823BE" w:rsidRDefault="008822B5" w:rsidP="00C477F6">
            <w:pPr>
              <w:pStyle w:val="1"/>
              <w:autoSpaceDE w:val="0"/>
              <w:autoSpaceDN w:val="0"/>
              <w:adjustRightInd w:val="0"/>
              <w:ind w:right="142" w:hanging="578"/>
              <w:textAlignment w:val="center"/>
              <w:rPr>
                <w:b/>
                <w:bCs/>
                <w:lang w:val="en-GB"/>
              </w:rPr>
            </w:pPr>
            <w:r w:rsidRPr="00D823BE">
              <w:rPr>
                <w:b/>
                <w:bCs/>
                <w:sz w:val="22"/>
                <w:szCs w:val="22"/>
                <w:lang w:val="en-GB"/>
              </w:rPr>
              <w:t>L01AA  Analogs of nitrogen mustard:</w:t>
            </w:r>
          </w:p>
          <w:p w:rsidR="008822B5" w:rsidRPr="00D823BE" w:rsidRDefault="008822B5" w:rsidP="00C477F6">
            <w:pPr>
              <w:pStyle w:val="1"/>
              <w:autoSpaceDE w:val="0"/>
              <w:autoSpaceDN w:val="0"/>
              <w:adjustRightInd w:val="0"/>
              <w:ind w:left="0" w:right="142"/>
              <w:textAlignment w:val="center"/>
              <w:rPr>
                <w:color w:val="000000"/>
                <w:lang w:val="en-GB" w:eastAsia="en-US"/>
              </w:rPr>
            </w:pPr>
            <w:r w:rsidRPr="00D823BE">
              <w:rPr>
                <w:b/>
                <w:bCs/>
                <w:sz w:val="22"/>
                <w:szCs w:val="22"/>
                <w:lang w:val="en-GB"/>
              </w:rPr>
              <w:t>L01AA01 Cyclophosphamide:</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432237,00/25654,40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39,68/2,53</w:t>
            </w:r>
          </w:p>
        </w:tc>
      </w:tr>
      <w:tr w:rsidR="008822B5" w:rsidRPr="00D823BE">
        <w:tc>
          <w:tcPr>
            <w:tcW w:w="2306" w:type="pct"/>
          </w:tcPr>
          <w:p w:rsidR="008822B5" w:rsidRPr="00D823BE" w:rsidRDefault="008822B5" w:rsidP="007D3C40">
            <w:pPr>
              <w:pStyle w:val="1"/>
              <w:autoSpaceDE w:val="0"/>
              <w:autoSpaceDN w:val="0"/>
              <w:adjustRightInd w:val="0"/>
              <w:ind w:left="0" w:right="142"/>
              <w:jc w:val="right"/>
              <w:textAlignment w:val="center"/>
              <w:rPr>
                <w:color w:val="000000"/>
                <w:lang w:val="en-GB" w:eastAsia="en-US"/>
              </w:rPr>
            </w:pPr>
            <w:r w:rsidRPr="00D823BE">
              <w:rPr>
                <w:b/>
                <w:bCs/>
                <w:color w:val="000000"/>
                <w:sz w:val="22"/>
                <w:szCs w:val="22"/>
                <w:lang w:val="en-GB" w:eastAsia="en-US"/>
              </w:rPr>
              <w:t>Total by group</w:t>
            </w:r>
            <w:r w:rsidRPr="00D823BE">
              <w:rPr>
                <w:color w:val="000000"/>
                <w:sz w:val="22"/>
                <w:szCs w:val="22"/>
                <w:lang w:val="en-GB" w:eastAsia="en-US"/>
              </w:rPr>
              <w:t>:</w:t>
            </w:r>
          </w:p>
        </w:tc>
        <w:tc>
          <w:tcPr>
            <w:tcW w:w="162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432237,00</w:t>
            </w:r>
            <w:r w:rsidRPr="00D823BE">
              <w:rPr>
                <w:color w:val="000000"/>
                <w:lang w:val="en-GB" w:eastAsia="en-US"/>
              </w:rPr>
              <w:t>/</w:t>
            </w:r>
            <w:r w:rsidRPr="00D823BE">
              <w:rPr>
                <w:b/>
                <w:bCs/>
                <w:color w:val="000000"/>
                <w:lang w:val="en-GB" w:eastAsia="en-US"/>
              </w:rPr>
              <w:t>25654,40</w:t>
            </w:r>
          </w:p>
        </w:tc>
        <w:tc>
          <w:tcPr>
            <w:tcW w:w="106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39,68/2,53</w:t>
            </w:r>
          </w:p>
        </w:tc>
      </w:tr>
      <w:tr w:rsidR="008822B5" w:rsidRPr="00D823BE">
        <w:tc>
          <w:tcPr>
            <w:tcW w:w="5000" w:type="pct"/>
            <w:gridSpan w:val="3"/>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sz w:val="22"/>
                <w:szCs w:val="22"/>
                <w:lang w:val="en-GB" w:eastAsia="en-US"/>
              </w:rPr>
              <w:t xml:space="preserve">          L01B  Antimetabolites:</w:t>
            </w:r>
          </w:p>
        </w:tc>
      </w:tr>
      <w:tr w:rsidR="008822B5" w:rsidRPr="00D823BE">
        <w:tc>
          <w:tcPr>
            <w:tcW w:w="2306" w:type="pct"/>
          </w:tcPr>
          <w:p w:rsidR="008822B5" w:rsidRPr="00D823BE" w:rsidRDefault="008822B5" w:rsidP="00C477F6">
            <w:pPr>
              <w:pStyle w:val="1"/>
              <w:autoSpaceDE w:val="0"/>
              <w:autoSpaceDN w:val="0"/>
              <w:adjustRightInd w:val="0"/>
              <w:ind w:right="142" w:hanging="720"/>
              <w:textAlignment w:val="center"/>
              <w:rPr>
                <w:b/>
                <w:bCs/>
                <w:lang w:val="en-GB"/>
              </w:rPr>
            </w:pPr>
            <w:r w:rsidRPr="00D823BE">
              <w:rPr>
                <w:b/>
                <w:bCs/>
                <w:sz w:val="22"/>
                <w:szCs w:val="22"/>
                <w:lang w:val="en-GB"/>
              </w:rPr>
              <w:t>L01BA  Structural analogs of folic acid:</w:t>
            </w:r>
          </w:p>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sz w:val="22"/>
                <w:szCs w:val="22"/>
                <w:lang w:val="en-GB"/>
              </w:rPr>
              <w:t xml:space="preserve">L01BA01    </w:t>
            </w:r>
            <w:r w:rsidRPr="00D823BE">
              <w:rPr>
                <w:b/>
                <w:bCs/>
                <w:sz w:val="22"/>
                <w:szCs w:val="22"/>
                <w:lang w:val="en-GB"/>
              </w:rPr>
              <w:t>Methotrexate</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943,17/30,60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0,09/0,003</w:t>
            </w:r>
          </w:p>
        </w:tc>
      </w:tr>
      <w:tr w:rsidR="008822B5" w:rsidRPr="00D823BE">
        <w:tc>
          <w:tcPr>
            <w:tcW w:w="2306" w:type="pct"/>
          </w:tcPr>
          <w:p w:rsidR="008822B5" w:rsidRPr="00D823BE" w:rsidRDefault="008822B5" w:rsidP="007D3C40">
            <w:pPr>
              <w:pStyle w:val="1"/>
              <w:autoSpaceDE w:val="0"/>
              <w:autoSpaceDN w:val="0"/>
              <w:adjustRightInd w:val="0"/>
              <w:ind w:left="0" w:right="142"/>
              <w:textAlignment w:val="center"/>
              <w:rPr>
                <w:b/>
                <w:bCs/>
                <w:lang w:val="en-GB"/>
              </w:rPr>
            </w:pPr>
            <w:r w:rsidRPr="00D823BE">
              <w:rPr>
                <w:b/>
                <w:bCs/>
                <w:sz w:val="22"/>
                <w:szCs w:val="22"/>
                <w:lang w:val="en-GB"/>
              </w:rPr>
              <w:t>L01BB  Structural analogues of purine:</w:t>
            </w:r>
          </w:p>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sz w:val="22"/>
                <w:szCs w:val="22"/>
                <w:lang w:val="en-GB"/>
              </w:rPr>
              <w:t xml:space="preserve">L01BB02 </w:t>
            </w:r>
            <w:r w:rsidRPr="00D823BE">
              <w:rPr>
                <w:b/>
                <w:bCs/>
                <w:sz w:val="22"/>
                <w:szCs w:val="22"/>
                <w:lang w:val="en-GB"/>
              </w:rPr>
              <w:t>Mercaptopurine</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47838,00/1700,00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4,39/0,17</w:t>
            </w:r>
          </w:p>
        </w:tc>
      </w:tr>
      <w:tr w:rsidR="008822B5" w:rsidRPr="00D823BE">
        <w:trPr>
          <w:trHeight w:val="855"/>
        </w:trPr>
        <w:tc>
          <w:tcPr>
            <w:tcW w:w="2306" w:type="pct"/>
          </w:tcPr>
          <w:p w:rsidR="008822B5" w:rsidRPr="00D823BE" w:rsidRDefault="008822B5" w:rsidP="007D3C40">
            <w:pPr>
              <w:pStyle w:val="1"/>
              <w:autoSpaceDE w:val="0"/>
              <w:autoSpaceDN w:val="0"/>
              <w:adjustRightInd w:val="0"/>
              <w:ind w:left="0" w:right="142"/>
              <w:textAlignment w:val="center"/>
              <w:rPr>
                <w:b/>
                <w:bCs/>
                <w:lang w:val="en-GB"/>
              </w:rPr>
            </w:pPr>
            <w:r w:rsidRPr="00D823BE">
              <w:rPr>
                <w:b/>
                <w:bCs/>
                <w:sz w:val="22"/>
                <w:szCs w:val="22"/>
                <w:lang w:val="en-GB"/>
              </w:rPr>
              <w:t>L01BC  Structural analogs of Pyrimidine:</w:t>
            </w:r>
          </w:p>
          <w:p w:rsidR="008822B5" w:rsidRPr="00D823BE" w:rsidRDefault="008822B5" w:rsidP="007D3C40">
            <w:pPr>
              <w:spacing w:after="200"/>
              <w:rPr>
                <w:b/>
                <w:bCs/>
                <w:color w:val="000000"/>
                <w:lang w:val="en-GB" w:eastAsia="en-US"/>
              </w:rPr>
            </w:pPr>
            <w:r w:rsidRPr="00D823BE">
              <w:rPr>
                <w:sz w:val="22"/>
                <w:szCs w:val="22"/>
                <w:lang w:val="en-GB" w:eastAsia="uk-UA"/>
              </w:rPr>
              <w:t xml:space="preserve">L01BC01 </w:t>
            </w:r>
            <w:r w:rsidRPr="00D823BE">
              <w:rPr>
                <w:b/>
                <w:bCs/>
                <w:sz w:val="22"/>
                <w:szCs w:val="22"/>
                <w:lang w:val="en-GB"/>
              </w:rPr>
              <w:t>cytarabine</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106452,00/464150,00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9,77/45,74</w:t>
            </w:r>
          </w:p>
        </w:tc>
      </w:tr>
      <w:tr w:rsidR="008822B5" w:rsidRPr="00D823BE">
        <w:trPr>
          <w:trHeight w:val="268"/>
        </w:trPr>
        <w:tc>
          <w:tcPr>
            <w:tcW w:w="2306" w:type="pct"/>
          </w:tcPr>
          <w:p w:rsidR="008822B5" w:rsidRPr="00D823BE" w:rsidRDefault="008822B5" w:rsidP="007D3C40">
            <w:pPr>
              <w:pStyle w:val="1"/>
              <w:autoSpaceDE w:val="0"/>
              <w:autoSpaceDN w:val="0"/>
              <w:adjustRightInd w:val="0"/>
              <w:ind w:left="0" w:right="142"/>
              <w:jc w:val="right"/>
              <w:textAlignment w:val="center"/>
              <w:rPr>
                <w:b/>
                <w:bCs/>
                <w:lang w:val="en-GB"/>
              </w:rPr>
            </w:pPr>
            <w:r w:rsidRPr="00D823BE">
              <w:rPr>
                <w:b/>
                <w:bCs/>
                <w:color w:val="000000"/>
                <w:sz w:val="22"/>
                <w:szCs w:val="22"/>
                <w:lang w:val="en-GB" w:eastAsia="en-US"/>
              </w:rPr>
              <w:t>Total by group</w:t>
            </w:r>
            <w:r w:rsidRPr="00D823BE">
              <w:rPr>
                <w:color w:val="000000"/>
                <w:sz w:val="22"/>
                <w:szCs w:val="22"/>
                <w:lang w:val="en-GB" w:eastAsia="en-US"/>
              </w:rPr>
              <w:t>:</w:t>
            </w:r>
          </w:p>
        </w:tc>
        <w:tc>
          <w:tcPr>
            <w:tcW w:w="162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155233,17/465880,60</w:t>
            </w:r>
          </w:p>
        </w:tc>
        <w:tc>
          <w:tcPr>
            <w:tcW w:w="106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14,25/45,91</w:t>
            </w:r>
          </w:p>
        </w:tc>
      </w:tr>
      <w:tr w:rsidR="008822B5" w:rsidRPr="00D823BE">
        <w:tc>
          <w:tcPr>
            <w:tcW w:w="5000" w:type="pct"/>
            <w:gridSpan w:val="3"/>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sz w:val="22"/>
                <w:szCs w:val="22"/>
                <w:lang w:val="en-GB" w:eastAsia="en-US"/>
              </w:rPr>
              <w:t>L01C Vegetable alkaloids and other drugs</w:t>
            </w:r>
          </w:p>
        </w:tc>
      </w:tr>
      <w:tr w:rsidR="008822B5" w:rsidRPr="00D823BE">
        <w:trPr>
          <w:trHeight w:val="795"/>
        </w:trPr>
        <w:tc>
          <w:tcPr>
            <w:tcW w:w="2306" w:type="pct"/>
          </w:tcPr>
          <w:p w:rsidR="008822B5" w:rsidRPr="00D823BE" w:rsidRDefault="008822B5" w:rsidP="00C477F6">
            <w:pPr>
              <w:pStyle w:val="1"/>
              <w:autoSpaceDE w:val="0"/>
              <w:autoSpaceDN w:val="0"/>
              <w:adjustRightInd w:val="0"/>
              <w:ind w:left="0" w:right="142"/>
              <w:textAlignment w:val="center"/>
              <w:rPr>
                <w:b/>
                <w:bCs/>
                <w:color w:val="000000"/>
                <w:lang w:val="en-GB" w:eastAsia="en-US"/>
              </w:rPr>
            </w:pPr>
            <w:r w:rsidRPr="00D823BE">
              <w:rPr>
                <w:b/>
                <w:bCs/>
                <w:color w:val="000000"/>
                <w:sz w:val="22"/>
                <w:szCs w:val="22"/>
                <w:lang w:val="en-GB" w:eastAsia="en-US"/>
              </w:rPr>
              <w:t>L01C Vinca alkaloids and its analogues:</w:t>
            </w:r>
          </w:p>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 xml:space="preserve">L01CA02   </w:t>
            </w:r>
            <w:r w:rsidRPr="00D823BE">
              <w:rPr>
                <w:b/>
                <w:bCs/>
                <w:color w:val="000000"/>
                <w:sz w:val="22"/>
                <w:szCs w:val="22"/>
                <w:lang w:val="en-GB" w:eastAsia="en-US"/>
              </w:rPr>
              <w:t>Vinkristyn</w:t>
            </w:r>
            <w:r w:rsidRPr="00D823BE">
              <w:rPr>
                <w:color w:val="000000"/>
                <w:sz w:val="22"/>
                <w:szCs w:val="22"/>
                <w:lang w:val="en-GB" w:eastAsia="en-US"/>
              </w:rPr>
              <w:t>:</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159173,85/-</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14,61/-</w:t>
            </w:r>
          </w:p>
        </w:tc>
      </w:tr>
      <w:tr w:rsidR="008822B5" w:rsidRPr="00D823BE">
        <w:tc>
          <w:tcPr>
            <w:tcW w:w="2306" w:type="pct"/>
          </w:tcPr>
          <w:p w:rsidR="008822B5" w:rsidRPr="00D823BE" w:rsidRDefault="008822B5" w:rsidP="007D3C40">
            <w:pPr>
              <w:pStyle w:val="1"/>
              <w:autoSpaceDE w:val="0"/>
              <w:autoSpaceDN w:val="0"/>
              <w:adjustRightInd w:val="0"/>
              <w:ind w:left="0" w:right="142"/>
              <w:textAlignment w:val="center"/>
              <w:rPr>
                <w:b/>
                <w:bCs/>
                <w:color w:val="000000"/>
                <w:lang w:val="en-GB" w:eastAsia="en-US"/>
              </w:rPr>
            </w:pPr>
            <w:r w:rsidRPr="00D823BE">
              <w:rPr>
                <w:b/>
                <w:bCs/>
                <w:color w:val="000000"/>
                <w:sz w:val="22"/>
                <w:szCs w:val="22"/>
                <w:lang w:val="en-GB" w:eastAsia="en-US"/>
              </w:rPr>
              <w:t>L01CB Derivatives of podofillotoxine:</w:t>
            </w:r>
          </w:p>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 xml:space="preserve">L01C B01 </w:t>
            </w:r>
            <w:r w:rsidRPr="00D823BE">
              <w:rPr>
                <w:b/>
                <w:bCs/>
                <w:color w:val="000000"/>
                <w:sz w:val="22"/>
                <w:szCs w:val="22"/>
                <w:lang w:val="en-GB" w:eastAsia="en-US"/>
              </w:rPr>
              <w:t>Etoposide</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47130,00/25578,00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4,33/2,52</w:t>
            </w:r>
          </w:p>
        </w:tc>
      </w:tr>
      <w:tr w:rsidR="008822B5" w:rsidRPr="00D823BE">
        <w:tc>
          <w:tcPr>
            <w:tcW w:w="2306" w:type="pct"/>
          </w:tcPr>
          <w:p w:rsidR="008822B5" w:rsidRPr="00D823BE" w:rsidRDefault="008822B5" w:rsidP="007D3C40">
            <w:pPr>
              <w:pStyle w:val="1"/>
              <w:autoSpaceDE w:val="0"/>
              <w:autoSpaceDN w:val="0"/>
              <w:adjustRightInd w:val="0"/>
              <w:ind w:left="0" w:right="142"/>
              <w:jc w:val="right"/>
              <w:textAlignment w:val="center"/>
              <w:rPr>
                <w:b/>
                <w:bCs/>
                <w:color w:val="000000"/>
                <w:lang w:val="en-GB" w:eastAsia="en-US"/>
              </w:rPr>
            </w:pPr>
            <w:r w:rsidRPr="00D823BE">
              <w:rPr>
                <w:b/>
                <w:bCs/>
                <w:color w:val="000000"/>
                <w:sz w:val="22"/>
                <w:szCs w:val="22"/>
                <w:lang w:val="en-GB" w:eastAsia="en-US"/>
              </w:rPr>
              <w:t>Total by group:</w:t>
            </w:r>
          </w:p>
        </w:tc>
        <w:tc>
          <w:tcPr>
            <w:tcW w:w="162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206303,85/25578,00</w:t>
            </w:r>
          </w:p>
        </w:tc>
        <w:tc>
          <w:tcPr>
            <w:tcW w:w="106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18,94/2,52</w:t>
            </w:r>
          </w:p>
        </w:tc>
      </w:tr>
      <w:tr w:rsidR="008822B5" w:rsidRPr="00D823BE">
        <w:tc>
          <w:tcPr>
            <w:tcW w:w="5000" w:type="pct"/>
            <w:gridSpan w:val="3"/>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sz w:val="22"/>
                <w:szCs w:val="22"/>
                <w:lang w:val="en-GB" w:eastAsia="en-US"/>
              </w:rPr>
              <w:t>L01D Antineoplastic antibiotics</w:t>
            </w:r>
          </w:p>
        </w:tc>
      </w:tr>
      <w:tr w:rsidR="008822B5" w:rsidRPr="00D823BE">
        <w:tc>
          <w:tcPr>
            <w:tcW w:w="2306" w:type="pct"/>
          </w:tcPr>
          <w:p w:rsidR="008822B5" w:rsidRPr="00D823BE" w:rsidRDefault="008822B5" w:rsidP="003A465B">
            <w:pPr>
              <w:pStyle w:val="1"/>
              <w:autoSpaceDE w:val="0"/>
              <w:autoSpaceDN w:val="0"/>
              <w:adjustRightInd w:val="0"/>
              <w:ind w:left="0" w:right="142"/>
              <w:textAlignment w:val="center"/>
              <w:rPr>
                <w:b/>
                <w:bCs/>
                <w:color w:val="000000"/>
                <w:lang w:val="en-GB" w:eastAsia="en-US"/>
              </w:rPr>
            </w:pPr>
            <w:r w:rsidRPr="00D823BE">
              <w:rPr>
                <w:b/>
                <w:bCs/>
                <w:color w:val="000000"/>
                <w:sz w:val="22"/>
                <w:szCs w:val="22"/>
                <w:lang w:val="en-GB" w:eastAsia="en-US"/>
              </w:rPr>
              <w:t>L01DBAntracycline:</w:t>
            </w:r>
          </w:p>
          <w:p w:rsidR="008822B5" w:rsidRPr="00D823BE" w:rsidRDefault="008822B5" w:rsidP="003A465B">
            <w:pPr>
              <w:pStyle w:val="1"/>
              <w:autoSpaceDE w:val="0"/>
              <w:autoSpaceDN w:val="0"/>
              <w:adjustRightInd w:val="0"/>
              <w:ind w:left="0" w:right="142"/>
              <w:textAlignment w:val="center"/>
              <w:rPr>
                <w:b/>
                <w:bCs/>
                <w:color w:val="000000"/>
                <w:lang w:val="en-GB" w:eastAsia="en-US"/>
              </w:rPr>
            </w:pPr>
            <w:r w:rsidRPr="00D823BE">
              <w:rPr>
                <w:color w:val="000000"/>
                <w:sz w:val="22"/>
                <w:szCs w:val="22"/>
                <w:lang w:val="en-GB" w:eastAsia="en-US"/>
              </w:rPr>
              <w:t xml:space="preserve">L01DB01 Doxorubicin </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187944,00/108483,00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17,25/10,69</w:t>
            </w:r>
          </w:p>
        </w:tc>
      </w:tr>
      <w:tr w:rsidR="008822B5" w:rsidRPr="00D823BE">
        <w:tc>
          <w:tcPr>
            <w:tcW w:w="2306" w:type="pct"/>
          </w:tcPr>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L01DB02 daunorubicin</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28680,96/-</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2,63/-</w:t>
            </w:r>
          </w:p>
        </w:tc>
      </w:tr>
      <w:tr w:rsidR="008822B5" w:rsidRPr="00D823BE">
        <w:tc>
          <w:tcPr>
            <w:tcW w:w="2306" w:type="pct"/>
          </w:tcPr>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L01DB06 idarubicin</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14849,40/301296,84</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1,36/29,69</w:t>
            </w:r>
          </w:p>
        </w:tc>
      </w:tr>
      <w:tr w:rsidR="008822B5" w:rsidRPr="00D823BE">
        <w:tc>
          <w:tcPr>
            <w:tcW w:w="2306" w:type="pct"/>
          </w:tcPr>
          <w:p w:rsidR="008822B5" w:rsidRPr="00D823BE" w:rsidRDefault="008822B5" w:rsidP="003A465B">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L01DB07 mitoxantrone</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-/34399,62</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-/3,39</w:t>
            </w:r>
          </w:p>
        </w:tc>
      </w:tr>
      <w:tr w:rsidR="008822B5" w:rsidRPr="00D823BE">
        <w:tc>
          <w:tcPr>
            <w:tcW w:w="2306" w:type="pct"/>
          </w:tcPr>
          <w:p w:rsidR="008822B5" w:rsidRPr="00D823BE" w:rsidRDefault="008822B5" w:rsidP="007D3C40">
            <w:pPr>
              <w:pStyle w:val="1"/>
              <w:autoSpaceDE w:val="0"/>
              <w:autoSpaceDN w:val="0"/>
              <w:adjustRightInd w:val="0"/>
              <w:ind w:left="0" w:right="142"/>
              <w:jc w:val="right"/>
              <w:textAlignment w:val="center"/>
              <w:rPr>
                <w:b/>
                <w:bCs/>
                <w:color w:val="000000"/>
                <w:lang w:val="en-GB" w:eastAsia="en-US"/>
              </w:rPr>
            </w:pPr>
            <w:r w:rsidRPr="00D823BE">
              <w:rPr>
                <w:b/>
                <w:bCs/>
                <w:color w:val="000000"/>
                <w:sz w:val="22"/>
                <w:szCs w:val="22"/>
                <w:lang w:val="en-GB" w:eastAsia="en-US"/>
              </w:rPr>
              <w:t>Total by group:</w:t>
            </w:r>
          </w:p>
        </w:tc>
        <w:tc>
          <w:tcPr>
            <w:tcW w:w="162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231474,36/444179,46</w:t>
            </w:r>
          </w:p>
        </w:tc>
        <w:tc>
          <w:tcPr>
            <w:tcW w:w="106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21,24/43,77</w:t>
            </w:r>
          </w:p>
        </w:tc>
      </w:tr>
      <w:tr w:rsidR="008822B5" w:rsidRPr="00D823BE">
        <w:tc>
          <w:tcPr>
            <w:tcW w:w="5000" w:type="pct"/>
            <w:gridSpan w:val="3"/>
          </w:tcPr>
          <w:p w:rsidR="008822B5" w:rsidRPr="00D823BE" w:rsidRDefault="008822B5" w:rsidP="003A465B">
            <w:pPr>
              <w:pStyle w:val="1"/>
              <w:autoSpaceDE w:val="0"/>
              <w:autoSpaceDN w:val="0"/>
              <w:adjustRightInd w:val="0"/>
              <w:ind w:left="0" w:right="142"/>
              <w:jc w:val="center"/>
              <w:textAlignment w:val="center"/>
              <w:rPr>
                <w:b/>
                <w:bCs/>
                <w:color w:val="000000"/>
                <w:lang w:val="en-GB" w:eastAsia="en-US"/>
              </w:rPr>
            </w:pPr>
            <w:r w:rsidRPr="00D823BE">
              <w:rPr>
                <w:b/>
                <w:bCs/>
                <w:color w:val="000000"/>
                <w:sz w:val="22"/>
                <w:szCs w:val="22"/>
                <w:lang w:val="en-GB" w:eastAsia="en-US"/>
              </w:rPr>
              <w:t>L01X Others anticancer drugs</w:t>
            </w:r>
          </w:p>
        </w:tc>
      </w:tr>
      <w:tr w:rsidR="008822B5" w:rsidRPr="00D823BE">
        <w:tc>
          <w:tcPr>
            <w:tcW w:w="2306" w:type="pct"/>
          </w:tcPr>
          <w:p w:rsidR="008822B5" w:rsidRPr="00D823BE" w:rsidRDefault="008822B5" w:rsidP="007D3C40">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L01XX  Others antineoplastic drugs:</w:t>
            </w:r>
          </w:p>
          <w:p w:rsidR="008822B5" w:rsidRPr="00D823BE" w:rsidRDefault="008822B5" w:rsidP="003A465B">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L01XX14 Tretinoyin</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-/52988,00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-/5,22</w:t>
            </w:r>
          </w:p>
        </w:tc>
      </w:tr>
      <w:tr w:rsidR="008822B5" w:rsidRPr="00D823BE">
        <w:tc>
          <w:tcPr>
            <w:tcW w:w="2306" w:type="pct"/>
          </w:tcPr>
          <w:p w:rsidR="008822B5" w:rsidRPr="00D823BE" w:rsidRDefault="008822B5" w:rsidP="007D3C40">
            <w:pPr>
              <w:pStyle w:val="1"/>
              <w:autoSpaceDE w:val="0"/>
              <w:autoSpaceDN w:val="0"/>
              <w:adjustRightInd w:val="0"/>
              <w:ind w:left="0" w:right="142"/>
              <w:jc w:val="right"/>
              <w:textAlignment w:val="center"/>
              <w:rPr>
                <w:b/>
                <w:bCs/>
                <w:color w:val="000000"/>
                <w:lang w:val="en-GB" w:eastAsia="en-US"/>
              </w:rPr>
            </w:pPr>
            <w:r w:rsidRPr="00D823BE">
              <w:rPr>
                <w:b/>
                <w:bCs/>
                <w:color w:val="000000"/>
                <w:sz w:val="22"/>
                <w:szCs w:val="22"/>
                <w:lang w:val="en-GB" w:eastAsia="en-US"/>
              </w:rPr>
              <w:t>Total by group:</w:t>
            </w:r>
          </w:p>
        </w:tc>
        <w:tc>
          <w:tcPr>
            <w:tcW w:w="162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-/52988,00</w:t>
            </w:r>
          </w:p>
        </w:tc>
        <w:tc>
          <w:tcPr>
            <w:tcW w:w="106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-/5,22</w:t>
            </w:r>
          </w:p>
        </w:tc>
      </w:tr>
      <w:tr w:rsidR="008822B5" w:rsidRPr="00D823BE">
        <w:tc>
          <w:tcPr>
            <w:tcW w:w="5000" w:type="pct"/>
            <w:gridSpan w:val="3"/>
          </w:tcPr>
          <w:p w:rsidR="008822B5" w:rsidRPr="00D823BE" w:rsidRDefault="008822B5" w:rsidP="007D3C40">
            <w:pPr>
              <w:pStyle w:val="1"/>
              <w:autoSpaceDE w:val="0"/>
              <w:autoSpaceDN w:val="0"/>
              <w:adjustRightInd w:val="0"/>
              <w:ind w:right="142"/>
              <w:jc w:val="center"/>
              <w:textAlignment w:val="center"/>
              <w:rPr>
                <w:b/>
                <w:bCs/>
                <w:color w:val="000000"/>
                <w:u w:val="single"/>
                <w:lang w:val="en-GB" w:eastAsia="en-US"/>
              </w:rPr>
            </w:pPr>
            <w:r w:rsidRPr="00D823BE">
              <w:rPr>
                <w:b/>
                <w:bCs/>
                <w:color w:val="000000"/>
                <w:sz w:val="22"/>
                <w:szCs w:val="22"/>
                <w:u w:val="single"/>
                <w:lang w:val="en-GB" w:eastAsia="en-US"/>
              </w:rPr>
              <w:t>L03  Immunostimulators:</w:t>
            </w:r>
          </w:p>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b/>
                <w:bCs/>
                <w:color w:val="000000"/>
                <w:sz w:val="22"/>
                <w:szCs w:val="22"/>
                <w:lang w:val="en-GB" w:eastAsia="en-US"/>
              </w:rPr>
              <w:t xml:space="preserve">          L03A  Immunostimulators</w:t>
            </w:r>
            <w:r w:rsidRPr="00D823BE">
              <w:rPr>
                <w:color w:val="000000"/>
                <w:sz w:val="22"/>
                <w:szCs w:val="22"/>
                <w:lang w:val="en-GB" w:eastAsia="en-US"/>
              </w:rPr>
              <w:t>:</w:t>
            </w:r>
          </w:p>
        </w:tc>
      </w:tr>
      <w:tr w:rsidR="008822B5" w:rsidRPr="00D823BE">
        <w:tc>
          <w:tcPr>
            <w:tcW w:w="2306" w:type="pct"/>
          </w:tcPr>
          <w:p w:rsidR="008822B5" w:rsidRPr="00D823BE" w:rsidRDefault="008822B5" w:rsidP="003E16FC">
            <w:pPr>
              <w:pStyle w:val="1"/>
              <w:autoSpaceDE w:val="0"/>
              <w:autoSpaceDN w:val="0"/>
              <w:adjustRightInd w:val="0"/>
              <w:ind w:left="0" w:right="142"/>
              <w:textAlignment w:val="center"/>
              <w:rPr>
                <w:b/>
                <w:bCs/>
                <w:color w:val="000000"/>
                <w:lang w:val="en-GB" w:eastAsia="en-US"/>
              </w:rPr>
            </w:pPr>
            <w:r w:rsidRPr="00D823BE">
              <w:rPr>
                <w:b/>
                <w:bCs/>
                <w:color w:val="000000"/>
                <w:sz w:val="22"/>
                <w:szCs w:val="22"/>
                <w:lang w:val="en-GB" w:eastAsia="en-US"/>
              </w:rPr>
              <w:t>L03AB  Interferons:</w:t>
            </w:r>
          </w:p>
          <w:p w:rsidR="008822B5" w:rsidRPr="00D823BE" w:rsidRDefault="008822B5" w:rsidP="003E16FC">
            <w:pPr>
              <w:pStyle w:val="1"/>
              <w:autoSpaceDE w:val="0"/>
              <w:autoSpaceDN w:val="0"/>
              <w:adjustRightInd w:val="0"/>
              <w:ind w:left="0" w:right="142"/>
              <w:textAlignment w:val="center"/>
              <w:rPr>
                <w:color w:val="000000"/>
                <w:lang w:val="en-GB" w:eastAsia="en-US"/>
              </w:rPr>
            </w:pPr>
            <w:r w:rsidRPr="00D823BE">
              <w:rPr>
                <w:color w:val="000000"/>
                <w:sz w:val="22"/>
                <w:szCs w:val="22"/>
                <w:lang w:val="en-GB" w:eastAsia="en-US"/>
              </w:rPr>
              <w:t>L03AB11  peginterferon alfa -2a</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64096,80/-</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5,88/-</w:t>
            </w:r>
          </w:p>
        </w:tc>
      </w:tr>
      <w:tr w:rsidR="008822B5" w:rsidRPr="00D823BE">
        <w:tc>
          <w:tcPr>
            <w:tcW w:w="2306" w:type="pct"/>
          </w:tcPr>
          <w:p w:rsidR="008822B5" w:rsidRPr="00D823BE" w:rsidRDefault="008822B5" w:rsidP="003E16FC">
            <w:pPr>
              <w:pStyle w:val="1"/>
              <w:autoSpaceDE w:val="0"/>
              <w:autoSpaceDN w:val="0"/>
              <w:adjustRightInd w:val="0"/>
              <w:ind w:left="0" w:right="142"/>
              <w:textAlignment w:val="center"/>
              <w:rPr>
                <w:b/>
                <w:bCs/>
                <w:color w:val="000000"/>
                <w:lang w:val="en-GB" w:eastAsia="en-US"/>
              </w:rPr>
            </w:pPr>
            <w:r w:rsidRPr="00D823BE">
              <w:rPr>
                <w:b/>
                <w:bCs/>
                <w:color w:val="000000"/>
                <w:sz w:val="22"/>
                <w:szCs w:val="22"/>
                <w:lang w:val="en-GB" w:eastAsia="en-US"/>
              </w:rPr>
              <w:t>L03AX  Other immunostimulators:</w:t>
            </w:r>
          </w:p>
          <w:p w:rsidR="008822B5" w:rsidRPr="00D823BE" w:rsidRDefault="008822B5" w:rsidP="003A465B">
            <w:pPr>
              <w:pStyle w:val="1"/>
              <w:autoSpaceDE w:val="0"/>
              <w:autoSpaceDN w:val="0"/>
              <w:adjustRightInd w:val="0"/>
              <w:ind w:right="142"/>
              <w:textAlignment w:val="center"/>
              <w:rPr>
                <w:color w:val="000000"/>
                <w:lang w:val="en-GB" w:eastAsia="en-US"/>
              </w:rPr>
            </w:pPr>
            <w:r w:rsidRPr="00D823BE">
              <w:rPr>
                <w:color w:val="000000"/>
                <w:sz w:val="22"/>
                <w:szCs w:val="22"/>
                <w:lang w:val="en-GB" w:eastAsia="en-US"/>
              </w:rPr>
              <w:t xml:space="preserve">L03AX21Other drugs </w:t>
            </w:r>
          </w:p>
          <w:p w:rsidR="008822B5" w:rsidRPr="00D823BE" w:rsidRDefault="008822B5" w:rsidP="003A465B">
            <w:pPr>
              <w:pStyle w:val="1"/>
              <w:autoSpaceDE w:val="0"/>
              <w:autoSpaceDN w:val="0"/>
              <w:adjustRightInd w:val="0"/>
              <w:ind w:left="0" w:right="142"/>
              <w:textAlignment w:val="center"/>
              <w:rPr>
                <w:color w:val="000000"/>
                <w:lang w:val="en-GB" w:eastAsia="en-US"/>
              </w:rPr>
            </w:pP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-/415,48</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-/0,04</w:t>
            </w:r>
          </w:p>
        </w:tc>
      </w:tr>
      <w:tr w:rsidR="008822B5" w:rsidRPr="00D823BE">
        <w:tc>
          <w:tcPr>
            <w:tcW w:w="2306" w:type="pct"/>
          </w:tcPr>
          <w:p w:rsidR="008822B5" w:rsidRPr="00D823BE" w:rsidRDefault="008822B5" w:rsidP="007D3C40">
            <w:pPr>
              <w:pStyle w:val="1"/>
              <w:autoSpaceDE w:val="0"/>
              <w:autoSpaceDN w:val="0"/>
              <w:adjustRightInd w:val="0"/>
              <w:ind w:left="0" w:right="142"/>
              <w:jc w:val="right"/>
              <w:textAlignment w:val="center"/>
              <w:rPr>
                <w:b/>
                <w:bCs/>
                <w:color w:val="000000"/>
                <w:lang w:val="en-GB" w:eastAsia="en-US"/>
              </w:rPr>
            </w:pPr>
            <w:r w:rsidRPr="00D823BE">
              <w:rPr>
                <w:b/>
                <w:bCs/>
                <w:color w:val="000000"/>
                <w:sz w:val="22"/>
                <w:szCs w:val="22"/>
                <w:lang w:val="en-GB" w:eastAsia="en-US"/>
              </w:rPr>
              <w:t>Total by group:</w:t>
            </w:r>
          </w:p>
        </w:tc>
        <w:tc>
          <w:tcPr>
            <w:tcW w:w="162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64096,80/415,48</w:t>
            </w:r>
          </w:p>
        </w:tc>
        <w:tc>
          <w:tcPr>
            <w:tcW w:w="1067" w:type="pct"/>
          </w:tcPr>
          <w:p w:rsidR="008822B5" w:rsidRPr="00D823BE" w:rsidRDefault="008822B5" w:rsidP="007D3C40">
            <w:pPr>
              <w:pStyle w:val="1"/>
              <w:autoSpaceDE w:val="0"/>
              <w:autoSpaceDN w:val="0"/>
              <w:adjustRightInd w:val="0"/>
              <w:ind w:left="0" w:right="142"/>
              <w:jc w:val="center"/>
              <w:textAlignment w:val="center"/>
              <w:rPr>
                <w:b/>
                <w:bCs/>
                <w:color w:val="000000"/>
                <w:lang w:val="en-GB" w:eastAsia="en-US"/>
              </w:rPr>
            </w:pPr>
            <w:r w:rsidRPr="00D823BE">
              <w:rPr>
                <w:b/>
                <w:bCs/>
                <w:color w:val="000000"/>
                <w:lang w:val="en-GB" w:eastAsia="en-US"/>
              </w:rPr>
              <w:t>5,88/0,04</w:t>
            </w:r>
          </w:p>
        </w:tc>
      </w:tr>
      <w:tr w:rsidR="008822B5" w:rsidRPr="00D823BE">
        <w:tc>
          <w:tcPr>
            <w:tcW w:w="2306" w:type="pct"/>
          </w:tcPr>
          <w:p w:rsidR="008822B5" w:rsidRPr="00D823BE" w:rsidRDefault="008822B5" w:rsidP="007D3C40">
            <w:pPr>
              <w:pStyle w:val="1"/>
              <w:autoSpaceDE w:val="0"/>
              <w:autoSpaceDN w:val="0"/>
              <w:adjustRightInd w:val="0"/>
              <w:ind w:left="0" w:right="142"/>
              <w:jc w:val="right"/>
              <w:textAlignment w:val="center"/>
              <w:rPr>
                <w:b/>
                <w:bCs/>
                <w:color w:val="000000"/>
                <w:lang w:val="en-GB" w:eastAsia="en-US"/>
              </w:rPr>
            </w:pPr>
            <w:r w:rsidRPr="00D823BE">
              <w:rPr>
                <w:b/>
                <w:bCs/>
                <w:color w:val="000000"/>
                <w:sz w:val="22"/>
                <w:szCs w:val="22"/>
                <w:lang w:val="en-GB" w:eastAsia="en-US"/>
              </w:rPr>
              <w:t>Total:</w:t>
            </w:r>
          </w:p>
        </w:tc>
        <w:tc>
          <w:tcPr>
            <w:tcW w:w="162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b/>
                <w:bCs/>
                <w:color w:val="000000"/>
                <w:lang w:val="en-GB" w:eastAsia="en-US"/>
              </w:rPr>
              <w:t>1089345,18</w:t>
            </w:r>
            <w:r w:rsidRPr="00D823BE">
              <w:rPr>
                <w:color w:val="000000"/>
                <w:lang w:val="en-GB" w:eastAsia="en-US"/>
              </w:rPr>
              <w:t>/</w:t>
            </w:r>
            <w:r w:rsidRPr="00D823BE">
              <w:rPr>
                <w:b/>
                <w:bCs/>
                <w:color w:val="000000"/>
                <w:lang w:val="en-GB" w:eastAsia="en-US"/>
              </w:rPr>
              <w:t>1014695,94</w:t>
            </w:r>
          </w:p>
        </w:tc>
        <w:tc>
          <w:tcPr>
            <w:tcW w:w="1067" w:type="pct"/>
          </w:tcPr>
          <w:p w:rsidR="008822B5" w:rsidRPr="00D823BE" w:rsidRDefault="008822B5" w:rsidP="007D3C40">
            <w:pPr>
              <w:pStyle w:val="1"/>
              <w:autoSpaceDE w:val="0"/>
              <w:autoSpaceDN w:val="0"/>
              <w:adjustRightInd w:val="0"/>
              <w:ind w:left="0" w:right="142"/>
              <w:jc w:val="center"/>
              <w:textAlignment w:val="center"/>
              <w:rPr>
                <w:color w:val="000000"/>
                <w:lang w:val="en-GB" w:eastAsia="en-US"/>
              </w:rPr>
            </w:pPr>
            <w:r w:rsidRPr="00D823BE">
              <w:rPr>
                <w:color w:val="000000"/>
                <w:lang w:val="en-GB" w:eastAsia="en-US"/>
              </w:rPr>
              <w:t>100/100</w:t>
            </w:r>
          </w:p>
        </w:tc>
      </w:tr>
    </w:tbl>
    <w:p w:rsidR="008822B5" w:rsidRPr="00D823BE" w:rsidRDefault="008822B5" w:rsidP="008A5CF1">
      <w:pPr>
        <w:pStyle w:val="1"/>
        <w:autoSpaceDE w:val="0"/>
        <w:autoSpaceDN w:val="0"/>
        <w:adjustRightInd w:val="0"/>
        <w:spacing w:line="360" w:lineRule="auto"/>
        <w:ind w:left="142" w:right="142"/>
        <w:textAlignment w:val="center"/>
        <w:rPr>
          <w:color w:val="000000"/>
          <w:sz w:val="28"/>
          <w:szCs w:val="28"/>
          <w:lang w:val="en-GB" w:eastAsia="en-US"/>
        </w:rPr>
      </w:pPr>
    </w:p>
    <w:p w:rsidR="008822B5" w:rsidRPr="00D823BE" w:rsidRDefault="008822B5" w:rsidP="00801520">
      <w:pPr>
        <w:spacing w:line="360" w:lineRule="auto"/>
        <w:jc w:val="both"/>
        <w:rPr>
          <w:sz w:val="28"/>
          <w:szCs w:val="28"/>
          <w:lang w:val="en-GB"/>
        </w:rPr>
      </w:pPr>
      <w:r>
        <w:rPr>
          <w:sz w:val="28"/>
          <w:szCs w:val="28"/>
          <w:lang w:val="en-GB"/>
        </w:rPr>
        <w:br w:type="page"/>
      </w:r>
      <w:r w:rsidRPr="00D823BE">
        <w:rPr>
          <w:sz w:val="28"/>
          <w:szCs w:val="28"/>
          <w:lang w:val="en-GB"/>
        </w:rPr>
        <w:t>To the group A for patients with AML were included 11 drugs under INN of 25 trade names (1,375,919.00 UAH), B - 12 drugs or 28 trade names (273,159.60 UAH), and to the group C - 109 drugs by INN or 131 trade name of medicines (87,226.0 UAH). AD were represented in all three groups of drugs, so the group A included four drugs under INN (7 trade names, 927363.92 UAH), group B - three drugs under INN (5 trade names 85,632.02 UAH), and the group C  - only 1 drug (1700.0 UAH).</w:t>
      </w:r>
    </w:p>
    <w:p w:rsidR="008822B5" w:rsidRPr="00D823BE" w:rsidRDefault="008822B5" w:rsidP="00801520">
      <w:pPr>
        <w:spacing w:line="360" w:lineRule="auto"/>
        <w:jc w:val="both"/>
        <w:rPr>
          <w:sz w:val="28"/>
          <w:szCs w:val="28"/>
          <w:lang w:val="en-GB"/>
        </w:rPr>
      </w:pPr>
      <w:r w:rsidRPr="00D823BE">
        <w:rPr>
          <w:sz w:val="28"/>
          <w:szCs w:val="28"/>
          <w:lang w:val="en-GB"/>
        </w:rPr>
        <w:t>An important feature of medicines consumption is the presence in the first rungs of ABC analysis antitumor action of drugs. Thus, for group of patients with ALL - it cyclophosphamide, and for the group of patients with AML - cytarabine. From one perspective, this fact indicates the main direction in the conduct of treatment, namely conducting courses of intensive chemotherapy, and from the other – is a material proof of the need to introduce effective mechanisms of compensation for the cost of consumption of drugsin conditions of shortage of funds in the HC and poverty of the population.</w:t>
      </w:r>
    </w:p>
    <w:p w:rsidR="008822B5" w:rsidRPr="00D823BE" w:rsidRDefault="008822B5" w:rsidP="00801520">
      <w:pPr>
        <w:spacing w:line="360" w:lineRule="auto"/>
        <w:jc w:val="both"/>
        <w:rPr>
          <w:sz w:val="28"/>
          <w:szCs w:val="28"/>
          <w:lang w:val="en-GB"/>
        </w:rPr>
      </w:pPr>
      <w:r w:rsidRPr="00D823BE">
        <w:rPr>
          <w:sz w:val="28"/>
          <w:szCs w:val="28"/>
          <w:lang w:val="en-GB"/>
        </w:rPr>
        <w:t>According to VEN-analysis of consumption of medicines it is established the following. The group V in ALL patients included 35 titles on medicines by INN (1,244,045.28 UAH), of which 7 INN were for AD (14 trade names 981,718.02 UAH); E - 65 drugs (870,116.10 UAH), of which for AD - 3 by INN (3 trade names 107,627.16 UAH), and the group N - 20 medicines (137,276.55 UAH).</w:t>
      </w:r>
    </w:p>
    <w:p w:rsidR="008822B5" w:rsidRPr="00D823BE" w:rsidRDefault="008822B5" w:rsidP="00801520">
      <w:pPr>
        <w:spacing w:line="360" w:lineRule="auto"/>
        <w:jc w:val="both"/>
        <w:rPr>
          <w:sz w:val="28"/>
          <w:szCs w:val="28"/>
          <w:lang w:val="en-GB"/>
        </w:rPr>
      </w:pPr>
      <w:r w:rsidRPr="00D823BE">
        <w:rPr>
          <w:sz w:val="28"/>
          <w:szCs w:val="28"/>
          <w:lang w:val="en-GB"/>
        </w:rPr>
        <w:tab/>
        <w:t>In the treatment of HML 44 doctors used medication of 44INN from group V (966640,76 UAH), of which 6 medicines by INN (9 trade names, 312,798 UAH) accounted for anticancer drugs group action. In the group E were 68 medicines (710,223.72 UAH), of which three medicines by INN (5 trade names) related to AD (194,342.23 UAH). The group N was presented by 20 medicines (59,440.12 UAH). As you can see, on both samples of patients in the consumption were no drugs of antitumor action in the group N.</w:t>
      </w:r>
    </w:p>
    <w:p w:rsidR="008822B5" w:rsidRPr="00D823BE" w:rsidRDefault="008822B5" w:rsidP="00801520">
      <w:pPr>
        <w:spacing w:line="360" w:lineRule="auto"/>
        <w:jc w:val="both"/>
        <w:rPr>
          <w:sz w:val="28"/>
          <w:szCs w:val="28"/>
          <w:lang w:val="en-GB"/>
        </w:rPr>
      </w:pPr>
      <w:r w:rsidRPr="00D823BE">
        <w:rPr>
          <w:sz w:val="28"/>
          <w:szCs w:val="28"/>
          <w:lang w:val="en-GB"/>
        </w:rPr>
        <w:t>Value in consumption between drugs V, E and N for patients with ALL was 55: 39: 6, and for patients with HML -  56: 41: 3, more than half of medicines that were spent on pharmaceutical provision of patients with ALL and AML belonged to the group of vital medicines.</w:t>
      </w:r>
    </w:p>
    <w:p w:rsidR="008822B5" w:rsidRPr="00D823BE" w:rsidRDefault="008822B5" w:rsidP="00801520">
      <w:pPr>
        <w:spacing w:line="360" w:lineRule="auto"/>
        <w:jc w:val="both"/>
        <w:rPr>
          <w:sz w:val="28"/>
          <w:szCs w:val="28"/>
          <w:lang w:val="en-GB"/>
        </w:rPr>
      </w:pPr>
      <w:r w:rsidRPr="00D823BE">
        <w:rPr>
          <w:sz w:val="28"/>
          <w:szCs w:val="28"/>
          <w:lang w:val="en-GB"/>
        </w:rPr>
        <w:t>The results of the integrated ABC / VEN-analysis are presented in Table 2 and 3.</w:t>
      </w:r>
    </w:p>
    <w:p w:rsidR="008822B5" w:rsidRPr="00D823BE" w:rsidRDefault="008822B5" w:rsidP="00801520">
      <w:pPr>
        <w:spacing w:line="360" w:lineRule="auto"/>
        <w:jc w:val="both"/>
        <w:rPr>
          <w:sz w:val="28"/>
          <w:szCs w:val="28"/>
          <w:lang w:val="en-GB"/>
        </w:rPr>
      </w:pPr>
      <w:r w:rsidRPr="00D823BE">
        <w:rPr>
          <w:sz w:val="28"/>
          <w:szCs w:val="28"/>
          <w:lang w:val="en-GB"/>
        </w:rPr>
        <w:t>As we can see according to the matrixes, the largest amount of resources in both groups of patients accounted for consumption of drugs with the status of A / V, and the lowest - the status of C / V (ALL) and C / N (HML). That is, in the structure of consumption of drugs in both groups of patients drugs that have vital importance for the requirements of the regulatory framework and related to high-cost or have high rates or frequency setting, occupied 45.03% (AML) and 48.05% (ALL ). Interesting is the fact that HCF in the treatment of patients with AML was not used any drug in the status B / N.</w:t>
      </w:r>
    </w:p>
    <w:p w:rsidR="008822B5" w:rsidRPr="00D823BE" w:rsidRDefault="008822B5" w:rsidP="008A5CF1">
      <w:pPr>
        <w:autoSpaceDE w:val="0"/>
        <w:autoSpaceDN w:val="0"/>
        <w:adjustRightInd w:val="0"/>
        <w:spacing w:line="360" w:lineRule="auto"/>
        <w:ind w:right="142"/>
        <w:jc w:val="right"/>
        <w:textAlignment w:val="center"/>
        <w:rPr>
          <w:color w:val="000000"/>
          <w:sz w:val="28"/>
          <w:szCs w:val="28"/>
          <w:lang w:val="en-GB" w:eastAsia="en-US"/>
        </w:rPr>
      </w:pPr>
      <w:r w:rsidRPr="00D823BE">
        <w:rPr>
          <w:sz w:val="28"/>
          <w:szCs w:val="28"/>
          <w:lang w:val="en-GB"/>
        </w:rPr>
        <w:t xml:space="preserve">Table </w:t>
      </w:r>
      <w:r w:rsidRPr="00D823BE">
        <w:rPr>
          <w:color w:val="000000"/>
          <w:sz w:val="28"/>
          <w:szCs w:val="28"/>
          <w:lang w:val="en-GB" w:eastAsia="en-US"/>
        </w:rPr>
        <w:t xml:space="preserve">2 </w:t>
      </w:r>
    </w:p>
    <w:p w:rsidR="008822B5" w:rsidRPr="00D823BE" w:rsidRDefault="008822B5" w:rsidP="008A5CF1">
      <w:pPr>
        <w:jc w:val="center"/>
        <w:rPr>
          <w:b/>
          <w:bCs/>
          <w:sz w:val="28"/>
          <w:szCs w:val="28"/>
          <w:lang w:val="en-GB"/>
        </w:rPr>
      </w:pPr>
      <w:r w:rsidRPr="00D823BE">
        <w:rPr>
          <w:b/>
          <w:bCs/>
          <w:sz w:val="28"/>
          <w:szCs w:val="28"/>
          <w:lang w:val="en-GB"/>
        </w:rPr>
        <w:t xml:space="preserve">Matrix of integrated ABC / VEN-analysis of consumption of drugs by patients with ALL and AML </w:t>
      </w:r>
    </w:p>
    <w:tbl>
      <w:tblPr>
        <w:tblW w:w="98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
        <w:gridCol w:w="490"/>
        <w:gridCol w:w="1307"/>
        <w:gridCol w:w="978"/>
        <w:gridCol w:w="490"/>
        <w:gridCol w:w="1193"/>
        <w:gridCol w:w="877"/>
        <w:gridCol w:w="490"/>
        <w:gridCol w:w="1079"/>
        <w:gridCol w:w="868"/>
        <w:gridCol w:w="1229"/>
      </w:tblGrid>
      <w:tr w:rsidR="008822B5" w:rsidRPr="00D823BE">
        <w:trPr>
          <w:trHeight w:val="185"/>
        </w:trPr>
        <w:tc>
          <w:tcPr>
            <w:tcW w:w="9821" w:type="dxa"/>
            <w:gridSpan w:val="11"/>
          </w:tcPr>
          <w:p w:rsidR="008822B5" w:rsidRPr="00D823BE" w:rsidRDefault="008822B5" w:rsidP="007D3C40">
            <w:pPr>
              <w:tabs>
                <w:tab w:val="left" w:pos="7770"/>
              </w:tabs>
              <w:ind w:right="850"/>
              <w:jc w:val="center"/>
              <w:rPr>
                <w:b/>
                <w:bCs/>
                <w:sz w:val="20"/>
                <w:szCs w:val="20"/>
                <w:lang w:val="en-GB"/>
              </w:rPr>
            </w:pPr>
            <w:r w:rsidRPr="00D823BE">
              <w:rPr>
                <w:b/>
                <w:bCs/>
                <w:i/>
                <w:iCs/>
                <w:sz w:val="20"/>
                <w:szCs w:val="20"/>
                <w:lang w:val="en-GB"/>
              </w:rPr>
              <w:t xml:space="preserve">        </w:t>
            </w:r>
            <w:r w:rsidRPr="00D823BE">
              <w:rPr>
                <w:b/>
                <w:bCs/>
                <w:sz w:val="28"/>
                <w:szCs w:val="28"/>
                <w:lang w:val="en-GB"/>
              </w:rPr>
              <w:t>ALL</w:t>
            </w:r>
          </w:p>
        </w:tc>
      </w:tr>
      <w:tr w:rsidR="008822B5" w:rsidRPr="00D823BE">
        <w:trPr>
          <w:trHeight w:val="416"/>
        </w:trPr>
        <w:tc>
          <w:tcPr>
            <w:tcW w:w="0" w:type="auto"/>
            <w:vMerge w:val="restart"/>
            <w:textDirection w:val="btLr"/>
          </w:tcPr>
          <w:p w:rsidR="008822B5" w:rsidRPr="00D823BE" w:rsidRDefault="008822B5" w:rsidP="007D3C40">
            <w:pPr>
              <w:ind w:right="113"/>
              <w:rPr>
                <w:sz w:val="20"/>
                <w:szCs w:val="20"/>
                <w:lang w:val="en-GB"/>
              </w:rPr>
            </w:pPr>
            <w:r w:rsidRPr="00D823BE">
              <w:rPr>
                <w:sz w:val="20"/>
                <w:szCs w:val="20"/>
                <w:lang w:val="en-GB"/>
              </w:rPr>
              <w:t>Group of  АВС-</w:t>
            </w:r>
          </w:p>
          <w:p w:rsidR="008822B5" w:rsidRPr="00D823BE" w:rsidRDefault="008822B5" w:rsidP="007D3C40">
            <w:pPr>
              <w:ind w:right="113"/>
              <w:rPr>
                <w:sz w:val="20"/>
                <w:szCs w:val="20"/>
                <w:lang w:val="en-GB"/>
              </w:rPr>
            </w:pPr>
            <w:r w:rsidRPr="00D823BE">
              <w:rPr>
                <w:sz w:val="20"/>
                <w:szCs w:val="20"/>
                <w:lang w:val="en-GB"/>
              </w:rPr>
              <w:t xml:space="preserve">analyses </w:t>
            </w:r>
          </w:p>
        </w:tc>
        <w:tc>
          <w:tcPr>
            <w:tcW w:w="2719" w:type="dxa"/>
            <w:gridSpan w:val="3"/>
          </w:tcPr>
          <w:p w:rsidR="008822B5" w:rsidRPr="00D823BE" w:rsidRDefault="008822B5" w:rsidP="001A0A25">
            <w:pPr>
              <w:jc w:val="center"/>
              <w:rPr>
                <w:b/>
                <w:bCs/>
                <w:sz w:val="20"/>
                <w:szCs w:val="20"/>
                <w:lang w:val="en-GB"/>
              </w:rPr>
            </w:pPr>
            <w:r w:rsidRPr="00D823BE">
              <w:rPr>
                <w:b/>
                <w:bCs/>
                <w:sz w:val="20"/>
                <w:szCs w:val="20"/>
                <w:lang w:val="en-GB"/>
              </w:rPr>
              <w:t>V (vital) drugs</w:t>
            </w:r>
          </w:p>
        </w:tc>
        <w:tc>
          <w:tcPr>
            <w:tcW w:w="2508" w:type="dxa"/>
            <w:gridSpan w:val="3"/>
          </w:tcPr>
          <w:p w:rsidR="008822B5" w:rsidRPr="00D823BE" w:rsidRDefault="008822B5" w:rsidP="001A0A25">
            <w:pPr>
              <w:jc w:val="center"/>
              <w:rPr>
                <w:b/>
                <w:bCs/>
                <w:sz w:val="20"/>
                <w:szCs w:val="20"/>
                <w:lang w:val="en-GB"/>
              </w:rPr>
            </w:pPr>
            <w:r w:rsidRPr="00D823BE">
              <w:rPr>
                <w:b/>
                <w:bCs/>
                <w:sz w:val="20"/>
                <w:szCs w:val="20"/>
                <w:lang w:val="en-GB"/>
              </w:rPr>
              <w:t>Е (essential) drugs</w:t>
            </w:r>
          </w:p>
        </w:tc>
        <w:tc>
          <w:tcPr>
            <w:tcW w:w="2386" w:type="dxa"/>
            <w:gridSpan w:val="3"/>
          </w:tcPr>
          <w:p w:rsidR="008822B5" w:rsidRPr="00D823BE" w:rsidRDefault="008822B5" w:rsidP="001A0A25">
            <w:pPr>
              <w:ind w:right="-175"/>
              <w:jc w:val="center"/>
              <w:rPr>
                <w:b/>
                <w:bCs/>
                <w:sz w:val="20"/>
                <w:szCs w:val="20"/>
                <w:lang w:val="en-GB"/>
              </w:rPr>
            </w:pPr>
            <w:r w:rsidRPr="00D823BE">
              <w:rPr>
                <w:b/>
                <w:bCs/>
                <w:sz w:val="20"/>
                <w:szCs w:val="20"/>
                <w:lang w:val="en-GB"/>
              </w:rPr>
              <w:t>N (non-essential) drugs</w:t>
            </w:r>
          </w:p>
        </w:tc>
        <w:tc>
          <w:tcPr>
            <w:tcW w:w="0" w:type="auto"/>
            <w:vMerge w:val="restart"/>
            <w:textDirection w:val="btLr"/>
          </w:tcPr>
          <w:p w:rsidR="008822B5" w:rsidRPr="00D823BE" w:rsidRDefault="008822B5" w:rsidP="008D2D24">
            <w:pPr>
              <w:ind w:right="-175"/>
              <w:jc w:val="center"/>
              <w:rPr>
                <w:sz w:val="20"/>
                <w:szCs w:val="20"/>
                <w:lang w:val="en-GB"/>
              </w:rPr>
            </w:pPr>
            <w:r w:rsidRPr="00D823BE">
              <w:rPr>
                <w:sz w:val="20"/>
                <w:szCs w:val="20"/>
                <w:lang w:val="en-GB"/>
              </w:rPr>
              <w:t>Сorrelation</w:t>
            </w:r>
          </w:p>
          <w:p w:rsidR="008822B5" w:rsidRPr="00D823BE" w:rsidRDefault="008822B5" w:rsidP="008D2D24">
            <w:pPr>
              <w:ind w:right="-175"/>
              <w:jc w:val="center"/>
              <w:rPr>
                <w:sz w:val="20"/>
                <w:szCs w:val="20"/>
                <w:lang w:val="en-GB"/>
              </w:rPr>
            </w:pPr>
            <w:r w:rsidRPr="00D823BE">
              <w:rPr>
                <w:sz w:val="20"/>
                <w:szCs w:val="20"/>
                <w:lang w:val="en-GB"/>
              </w:rPr>
              <w:t>in consumption</w:t>
            </w:r>
          </w:p>
          <w:p w:rsidR="008822B5" w:rsidRPr="00D823BE" w:rsidRDefault="008822B5" w:rsidP="008D2D24">
            <w:pPr>
              <w:ind w:right="-175"/>
              <w:jc w:val="center"/>
              <w:rPr>
                <w:sz w:val="20"/>
                <w:szCs w:val="20"/>
                <w:lang w:val="en-GB"/>
              </w:rPr>
            </w:pPr>
            <w:r w:rsidRPr="00D823BE">
              <w:rPr>
                <w:sz w:val="20"/>
                <w:szCs w:val="20"/>
                <w:lang w:val="en-GB"/>
              </w:rPr>
              <w:t>of drugs by groups</w:t>
            </w:r>
          </w:p>
          <w:p w:rsidR="008822B5" w:rsidRPr="00D823BE" w:rsidRDefault="008822B5" w:rsidP="007D3C40">
            <w:pPr>
              <w:ind w:right="113"/>
              <w:rPr>
                <w:sz w:val="20"/>
                <w:szCs w:val="20"/>
                <w:lang w:val="en-GB"/>
              </w:rPr>
            </w:pPr>
            <w:r w:rsidRPr="00D823BE">
              <w:rPr>
                <w:sz w:val="20"/>
                <w:szCs w:val="20"/>
                <w:lang w:val="en-GB"/>
              </w:rPr>
              <w:t>V:E:N</w:t>
            </w:r>
          </w:p>
        </w:tc>
      </w:tr>
      <w:tr w:rsidR="008822B5" w:rsidRPr="00D823BE">
        <w:trPr>
          <w:cantSplit/>
          <w:trHeight w:val="1555"/>
        </w:trPr>
        <w:tc>
          <w:tcPr>
            <w:tcW w:w="0" w:type="auto"/>
            <w:vMerge/>
          </w:tcPr>
          <w:p w:rsidR="008822B5" w:rsidRPr="00D823BE" w:rsidRDefault="008822B5" w:rsidP="007D3C40">
            <w:pPr>
              <w:rPr>
                <w:sz w:val="20"/>
                <w:szCs w:val="20"/>
                <w:lang w:val="en-GB"/>
              </w:rPr>
            </w:pPr>
          </w:p>
        </w:tc>
        <w:tc>
          <w:tcPr>
            <w:tcW w:w="0" w:type="auto"/>
            <w:textDirection w:val="btLr"/>
          </w:tcPr>
          <w:p w:rsidR="008822B5" w:rsidRPr="00D823BE" w:rsidRDefault="008822B5" w:rsidP="007D3C40">
            <w:pPr>
              <w:ind w:right="113"/>
              <w:rPr>
                <w:sz w:val="20"/>
                <w:szCs w:val="20"/>
                <w:lang w:val="en-GB"/>
              </w:rPr>
            </w:pPr>
            <w:r w:rsidRPr="00D823BE">
              <w:rPr>
                <w:sz w:val="20"/>
                <w:szCs w:val="20"/>
                <w:lang w:val="en-GB"/>
              </w:rPr>
              <w:t xml:space="preserve">Quantity of drugs  </w:t>
            </w:r>
          </w:p>
        </w:tc>
        <w:tc>
          <w:tcPr>
            <w:tcW w:w="0" w:type="auto"/>
            <w:textDirection w:val="btLr"/>
          </w:tcPr>
          <w:p w:rsidR="008822B5" w:rsidRPr="00D823BE" w:rsidRDefault="008822B5" w:rsidP="007D3C40">
            <w:pPr>
              <w:ind w:right="113"/>
              <w:rPr>
                <w:sz w:val="20"/>
                <w:szCs w:val="20"/>
                <w:lang w:val="en-GB"/>
              </w:rPr>
            </w:pPr>
            <w:r w:rsidRPr="00D823BE">
              <w:rPr>
                <w:sz w:val="20"/>
                <w:szCs w:val="20"/>
                <w:lang w:val="en-GB"/>
              </w:rPr>
              <w:t xml:space="preserve">Amount of consumption </w:t>
            </w:r>
          </w:p>
          <w:p w:rsidR="008822B5" w:rsidRPr="00D823BE" w:rsidRDefault="008822B5" w:rsidP="001A0A25">
            <w:pPr>
              <w:ind w:right="113"/>
              <w:rPr>
                <w:sz w:val="20"/>
                <w:szCs w:val="20"/>
                <w:lang w:val="en-GB"/>
              </w:rPr>
            </w:pPr>
            <w:r w:rsidRPr="00D823BE">
              <w:rPr>
                <w:sz w:val="20"/>
                <w:szCs w:val="20"/>
                <w:lang w:val="en-GB"/>
              </w:rPr>
              <w:t>(UAH)</w:t>
            </w:r>
          </w:p>
        </w:tc>
        <w:tc>
          <w:tcPr>
            <w:tcW w:w="943" w:type="dxa"/>
            <w:textDirection w:val="btLr"/>
          </w:tcPr>
          <w:p w:rsidR="008822B5" w:rsidRPr="00D823BE" w:rsidRDefault="008822B5" w:rsidP="008D2D24">
            <w:pPr>
              <w:ind w:right="113"/>
              <w:rPr>
                <w:sz w:val="20"/>
                <w:szCs w:val="20"/>
                <w:lang w:val="en-GB"/>
              </w:rPr>
            </w:pPr>
            <w:r w:rsidRPr="00D823BE">
              <w:rPr>
                <w:sz w:val="20"/>
                <w:szCs w:val="20"/>
                <w:lang w:val="en-GB"/>
              </w:rPr>
              <w:t>Specific weight in expenditure (%)</w:t>
            </w:r>
          </w:p>
        </w:tc>
        <w:tc>
          <w:tcPr>
            <w:tcW w:w="0" w:type="auto"/>
            <w:textDirection w:val="btLr"/>
          </w:tcPr>
          <w:p w:rsidR="008822B5" w:rsidRPr="00D823BE" w:rsidRDefault="008822B5" w:rsidP="003E16FC">
            <w:pPr>
              <w:ind w:right="113"/>
              <w:rPr>
                <w:sz w:val="20"/>
                <w:szCs w:val="20"/>
                <w:lang w:val="en-GB"/>
              </w:rPr>
            </w:pPr>
            <w:r w:rsidRPr="00D823BE">
              <w:rPr>
                <w:sz w:val="20"/>
                <w:szCs w:val="20"/>
                <w:lang w:val="en-GB"/>
              </w:rPr>
              <w:t xml:space="preserve">Quantity of drugs  </w:t>
            </w:r>
          </w:p>
        </w:tc>
        <w:tc>
          <w:tcPr>
            <w:tcW w:w="0" w:type="auto"/>
            <w:textDirection w:val="btLr"/>
          </w:tcPr>
          <w:p w:rsidR="008822B5" w:rsidRPr="00D823BE" w:rsidRDefault="008822B5" w:rsidP="003E16FC">
            <w:pPr>
              <w:ind w:right="113"/>
              <w:rPr>
                <w:sz w:val="20"/>
                <w:szCs w:val="20"/>
                <w:lang w:val="en-GB"/>
              </w:rPr>
            </w:pPr>
            <w:r w:rsidRPr="00D823BE">
              <w:rPr>
                <w:sz w:val="20"/>
                <w:szCs w:val="20"/>
                <w:lang w:val="en-GB"/>
              </w:rPr>
              <w:t xml:space="preserve">Amount of consumption </w:t>
            </w:r>
          </w:p>
          <w:p w:rsidR="008822B5" w:rsidRPr="00D823BE" w:rsidRDefault="008822B5" w:rsidP="003E16FC">
            <w:pPr>
              <w:ind w:right="113"/>
              <w:rPr>
                <w:sz w:val="20"/>
                <w:szCs w:val="20"/>
                <w:lang w:val="en-GB"/>
              </w:rPr>
            </w:pPr>
            <w:r w:rsidRPr="00D823BE">
              <w:rPr>
                <w:sz w:val="20"/>
                <w:szCs w:val="20"/>
                <w:lang w:val="en-GB"/>
              </w:rPr>
              <w:t>(UAH)</w:t>
            </w:r>
          </w:p>
        </w:tc>
        <w:tc>
          <w:tcPr>
            <w:tcW w:w="846" w:type="dxa"/>
            <w:textDirection w:val="btLr"/>
          </w:tcPr>
          <w:p w:rsidR="008822B5" w:rsidRPr="00D823BE" w:rsidRDefault="008822B5" w:rsidP="003E16FC">
            <w:pPr>
              <w:ind w:right="113"/>
              <w:rPr>
                <w:sz w:val="20"/>
                <w:szCs w:val="20"/>
                <w:lang w:val="en-GB"/>
              </w:rPr>
            </w:pPr>
            <w:r w:rsidRPr="00D823BE">
              <w:rPr>
                <w:sz w:val="20"/>
                <w:szCs w:val="20"/>
                <w:lang w:val="en-GB"/>
              </w:rPr>
              <w:t>Specific weight in expenditure (%)</w:t>
            </w:r>
          </w:p>
        </w:tc>
        <w:tc>
          <w:tcPr>
            <w:tcW w:w="0" w:type="auto"/>
            <w:textDirection w:val="btLr"/>
          </w:tcPr>
          <w:p w:rsidR="008822B5" w:rsidRPr="00D823BE" w:rsidRDefault="008822B5" w:rsidP="003E16FC">
            <w:pPr>
              <w:ind w:right="113"/>
              <w:rPr>
                <w:sz w:val="20"/>
                <w:szCs w:val="20"/>
                <w:lang w:val="en-GB"/>
              </w:rPr>
            </w:pPr>
            <w:r w:rsidRPr="00D823BE">
              <w:rPr>
                <w:sz w:val="20"/>
                <w:szCs w:val="20"/>
                <w:lang w:val="en-GB"/>
              </w:rPr>
              <w:t xml:space="preserve">Quantity of drugs  </w:t>
            </w:r>
          </w:p>
        </w:tc>
        <w:tc>
          <w:tcPr>
            <w:tcW w:w="0" w:type="auto"/>
            <w:textDirection w:val="btLr"/>
          </w:tcPr>
          <w:p w:rsidR="008822B5" w:rsidRPr="00D823BE" w:rsidRDefault="008822B5" w:rsidP="003E16FC">
            <w:pPr>
              <w:ind w:right="113"/>
              <w:rPr>
                <w:sz w:val="20"/>
                <w:szCs w:val="20"/>
                <w:lang w:val="en-GB"/>
              </w:rPr>
            </w:pPr>
            <w:r w:rsidRPr="00D823BE">
              <w:rPr>
                <w:sz w:val="20"/>
                <w:szCs w:val="20"/>
                <w:lang w:val="en-GB"/>
              </w:rPr>
              <w:t xml:space="preserve">Amount of consumption </w:t>
            </w:r>
          </w:p>
          <w:p w:rsidR="008822B5" w:rsidRPr="00D823BE" w:rsidRDefault="008822B5" w:rsidP="003E16FC">
            <w:pPr>
              <w:ind w:right="113"/>
              <w:rPr>
                <w:sz w:val="20"/>
                <w:szCs w:val="20"/>
                <w:lang w:val="en-GB"/>
              </w:rPr>
            </w:pPr>
            <w:r w:rsidRPr="00D823BE">
              <w:rPr>
                <w:sz w:val="20"/>
                <w:szCs w:val="20"/>
                <w:lang w:val="en-GB"/>
              </w:rPr>
              <w:t>(UAH)</w:t>
            </w:r>
          </w:p>
        </w:tc>
        <w:tc>
          <w:tcPr>
            <w:tcW w:w="837" w:type="dxa"/>
            <w:textDirection w:val="btLr"/>
          </w:tcPr>
          <w:p w:rsidR="008822B5" w:rsidRPr="00D823BE" w:rsidRDefault="008822B5" w:rsidP="003E16FC">
            <w:pPr>
              <w:ind w:right="113"/>
              <w:rPr>
                <w:sz w:val="20"/>
                <w:szCs w:val="20"/>
                <w:lang w:val="en-GB"/>
              </w:rPr>
            </w:pPr>
            <w:r w:rsidRPr="00D823BE">
              <w:rPr>
                <w:sz w:val="20"/>
                <w:szCs w:val="20"/>
                <w:lang w:val="en-GB"/>
              </w:rPr>
              <w:t>Specific weight in expenditure (%)</w:t>
            </w:r>
          </w:p>
        </w:tc>
        <w:tc>
          <w:tcPr>
            <w:tcW w:w="0" w:type="auto"/>
            <w:vMerge/>
          </w:tcPr>
          <w:p w:rsidR="008822B5" w:rsidRPr="00D823BE" w:rsidRDefault="008822B5" w:rsidP="007D3C40">
            <w:pPr>
              <w:rPr>
                <w:sz w:val="20"/>
                <w:szCs w:val="20"/>
                <w:lang w:val="en-GB"/>
              </w:rPr>
            </w:pPr>
          </w:p>
        </w:tc>
      </w:tr>
      <w:tr w:rsidR="008822B5" w:rsidRPr="00D823BE">
        <w:tc>
          <w:tcPr>
            <w:tcW w:w="9821" w:type="dxa"/>
            <w:gridSpan w:val="11"/>
          </w:tcPr>
          <w:p w:rsidR="008822B5" w:rsidRPr="00D823BE" w:rsidRDefault="008822B5" w:rsidP="007D3C40">
            <w:pPr>
              <w:jc w:val="center"/>
              <w:rPr>
                <w:b/>
                <w:bCs/>
                <w:i/>
                <w:iCs/>
                <w:lang w:val="en-GB"/>
              </w:rPr>
            </w:pPr>
            <w:r w:rsidRPr="00D823BE">
              <w:rPr>
                <w:b/>
                <w:bCs/>
                <w:i/>
                <w:iCs/>
                <w:sz w:val="22"/>
                <w:szCs w:val="22"/>
                <w:lang w:val="en-GB"/>
              </w:rPr>
              <w:t>ALL</w:t>
            </w:r>
          </w:p>
        </w:tc>
      </w:tr>
      <w:tr w:rsidR="008822B5" w:rsidRPr="00D823BE">
        <w:tc>
          <w:tcPr>
            <w:tcW w:w="0" w:type="auto"/>
          </w:tcPr>
          <w:p w:rsidR="008822B5" w:rsidRPr="00D823BE" w:rsidRDefault="008822B5" w:rsidP="007D3C40">
            <w:pPr>
              <w:jc w:val="center"/>
              <w:rPr>
                <w:b/>
                <w:bCs/>
                <w:lang w:val="en-GB"/>
              </w:rPr>
            </w:pPr>
            <w:r w:rsidRPr="00D823BE">
              <w:rPr>
                <w:b/>
                <w:bCs/>
                <w:sz w:val="22"/>
                <w:szCs w:val="22"/>
                <w:lang w:val="en-GB"/>
              </w:rPr>
              <w:t>А</w:t>
            </w:r>
          </w:p>
        </w:tc>
        <w:tc>
          <w:tcPr>
            <w:tcW w:w="0" w:type="auto"/>
          </w:tcPr>
          <w:p w:rsidR="008822B5" w:rsidRPr="00D823BE" w:rsidRDefault="008822B5" w:rsidP="007D3C40">
            <w:pPr>
              <w:jc w:val="center"/>
              <w:rPr>
                <w:lang w:val="en-GB"/>
              </w:rPr>
            </w:pPr>
            <w:r w:rsidRPr="00D823BE">
              <w:rPr>
                <w:sz w:val="22"/>
                <w:szCs w:val="22"/>
                <w:lang w:val="en-GB"/>
              </w:rPr>
              <w:t>8</w:t>
            </w:r>
          </w:p>
        </w:tc>
        <w:tc>
          <w:tcPr>
            <w:tcW w:w="0" w:type="auto"/>
          </w:tcPr>
          <w:p w:rsidR="008822B5" w:rsidRPr="00D823BE" w:rsidRDefault="008822B5" w:rsidP="007D3C40">
            <w:pPr>
              <w:rPr>
                <w:color w:val="000000"/>
                <w:lang w:val="en-GB"/>
              </w:rPr>
            </w:pPr>
            <w:r w:rsidRPr="00D823BE">
              <w:rPr>
                <w:color w:val="000000"/>
                <w:sz w:val="22"/>
                <w:szCs w:val="22"/>
                <w:lang w:val="en-GB"/>
              </w:rPr>
              <w:t>1081740,12</w:t>
            </w:r>
          </w:p>
        </w:tc>
        <w:tc>
          <w:tcPr>
            <w:tcW w:w="943" w:type="dxa"/>
          </w:tcPr>
          <w:p w:rsidR="008822B5" w:rsidRPr="00D823BE" w:rsidRDefault="008822B5" w:rsidP="007D3C40">
            <w:pPr>
              <w:jc w:val="center"/>
              <w:rPr>
                <w:color w:val="000000"/>
                <w:lang w:val="en-GB"/>
              </w:rPr>
            </w:pPr>
            <w:r w:rsidRPr="00D823BE">
              <w:rPr>
                <w:color w:val="000000"/>
                <w:sz w:val="22"/>
                <w:szCs w:val="22"/>
                <w:lang w:val="en-GB"/>
              </w:rPr>
              <w:t>86,95</w:t>
            </w:r>
          </w:p>
        </w:tc>
        <w:tc>
          <w:tcPr>
            <w:tcW w:w="0" w:type="auto"/>
          </w:tcPr>
          <w:p w:rsidR="008822B5" w:rsidRPr="00D823BE" w:rsidRDefault="008822B5" w:rsidP="007D3C40">
            <w:pPr>
              <w:jc w:val="center"/>
              <w:rPr>
                <w:lang w:val="en-GB"/>
              </w:rPr>
            </w:pPr>
            <w:r w:rsidRPr="00D823BE">
              <w:rPr>
                <w:sz w:val="22"/>
                <w:szCs w:val="22"/>
                <w:lang w:val="en-GB"/>
              </w:rPr>
              <w:t>6</w:t>
            </w:r>
          </w:p>
        </w:tc>
        <w:tc>
          <w:tcPr>
            <w:tcW w:w="0" w:type="auto"/>
          </w:tcPr>
          <w:p w:rsidR="008822B5" w:rsidRPr="00D823BE" w:rsidRDefault="008822B5" w:rsidP="007D3C40">
            <w:pPr>
              <w:jc w:val="center"/>
              <w:rPr>
                <w:color w:val="000000"/>
                <w:lang w:val="en-GB"/>
              </w:rPr>
            </w:pPr>
            <w:r w:rsidRPr="00D823BE">
              <w:rPr>
                <w:color w:val="000000"/>
                <w:sz w:val="22"/>
                <w:szCs w:val="22"/>
                <w:lang w:val="en-GB"/>
              </w:rPr>
              <w:t>661858,53</w:t>
            </w:r>
          </w:p>
        </w:tc>
        <w:tc>
          <w:tcPr>
            <w:tcW w:w="846" w:type="dxa"/>
          </w:tcPr>
          <w:p w:rsidR="008822B5" w:rsidRPr="00D823BE" w:rsidRDefault="008822B5" w:rsidP="007D3C40">
            <w:pPr>
              <w:jc w:val="center"/>
              <w:rPr>
                <w:color w:val="000000"/>
                <w:lang w:val="en-GB"/>
              </w:rPr>
            </w:pPr>
            <w:r w:rsidRPr="00D823BE">
              <w:rPr>
                <w:color w:val="000000"/>
                <w:sz w:val="22"/>
                <w:szCs w:val="22"/>
                <w:lang w:val="en-GB"/>
              </w:rPr>
              <w:t>76,07</w:t>
            </w:r>
          </w:p>
        </w:tc>
        <w:tc>
          <w:tcPr>
            <w:tcW w:w="0" w:type="auto"/>
          </w:tcPr>
          <w:p w:rsidR="008822B5" w:rsidRPr="00D823BE" w:rsidRDefault="008822B5" w:rsidP="007D3C40">
            <w:pPr>
              <w:jc w:val="center"/>
              <w:rPr>
                <w:color w:val="000000"/>
                <w:lang w:val="en-GB"/>
              </w:rPr>
            </w:pPr>
            <w:r w:rsidRPr="00D823BE">
              <w:rPr>
                <w:color w:val="000000"/>
                <w:sz w:val="22"/>
                <w:szCs w:val="22"/>
                <w:lang w:val="en-GB"/>
              </w:rPr>
              <w:t>1</w:t>
            </w:r>
          </w:p>
        </w:tc>
        <w:tc>
          <w:tcPr>
            <w:tcW w:w="0" w:type="auto"/>
          </w:tcPr>
          <w:p w:rsidR="008822B5" w:rsidRPr="00D823BE" w:rsidRDefault="008822B5" w:rsidP="007D3C40">
            <w:pPr>
              <w:rPr>
                <w:color w:val="000000"/>
                <w:lang w:val="en-GB"/>
              </w:rPr>
            </w:pPr>
            <w:r w:rsidRPr="00D823BE">
              <w:rPr>
                <w:color w:val="000000"/>
                <w:sz w:val="22"/>
                <w:szCs w:val="22"/>
                <w:lang w:val="en-GB"/>
              </w:rPr>
              <w:t>43209,12</w:t>
            </w:r>
          </w:p>
        </w:tc>
        <w:tc>
          <w:tcPr>
            <w:tcW w:w="837" w:type="dxa"/>
          </w:tcPr>
          <w:p w:rsidR="008822B5" w:rsidRPr="00D823BE" w:rsidRDefault="008822B5" w:rsidP="007D3C40">
            <w:pPr>
              <w:jc w:val="center"/>
              <w:rPr>
                <w:lang w:val="en-GB"/>
              </w:rPr>
            </w:pPr>
            <w:r w:rsidRPr="00D823BE">
              <w:rPr>
                <w:sz w:val="22"/>
                <w:szCs w:val="22"/>
                <w:lang w:val="en-GB"/>
              </w:rPr>
              <w:t>31,48</w:t>
            </w:r>
          </w:p>
        </w:tc>
        <w:tc>
          <w:tcPr>
            <w:tcW w:w="0" w:type="auto"/>
          </w:tcPr>
          <w:p w:rsidR="008822B5" w:rsidRPr="00D823BE" w:rsidRDefault="008822B5" w:rsidP="007D3C40">
            <w:pPr>
              <w:rPr>
                <w:color w:val="000000"/>
                <w:lang w:val="en-GB"/>
              </w:rPr>
            </w:pPr>
            <w:r w:rsidRPr="00D823BE">
              <w:rPr>
                <w:color w:val="000000"/>
                <w:sz w:val="22"/>
                <w:szCs w:val="22"/>
                <w:lang w:val="en-GB"/>
              </w:rPr>
              <w:t>61:37:2</w:t>
            </w:r>
          </w:p>
        </w:tc>
      </w:tr>
      <w:tr w:rsidR="008822B5" w:rsidRPr="00D823BE">
        <w:tc>
          <w:tcPr>
            <w:tcW w:w="0" w:type="auto"/>
          </w:tcPr>
          <w:p w:rsidR="008822B5" w:rsidRPr="00D823BE" w:rsidRDefault="008822B5" w:rsidP="007D3C40">
            <w:pPr>
              <w:jc w:val="center"/>
              <w:rPr>
                <w:b/>
                <w:bCs/>
                <w:lang w:val="en-GB"/>
              </w:rPr>
            </w:pPr>
            <w:r w:rsidRPr="00D823BE">
              <w:rPr>
                <w:b/>
                <w:bCs/>
                <w:sz w:val="22"/>
                <w:szCs w:val="22"/>
                <w:lang w:val="en-GB"/>
              </w:rPr>
              <w:t>В</w:t>
            </w:r>
          </w:p>
        </w:tc>
        <w:tc>
          <w:tcPr>
            <w:tcW w:w="0" w:type="auto"/>
          </w:tcPr>
          <w:p w:rsidR="008822B5" w:rsidRPr="00D823BE" w:rsidRDefault="008822B5" w:rsidP="007D3C40">
            <w:pPr>
              <w:jc w:val="center"/>
              <w:rPr>
                <w:lang w:val="en-GB"/>
              </w:rPr>
            </w:pPr>
            <w:r w:rsidRPr="00D823BE">
              <w:rPr>
                <w:sz w:val="22"/>
                <w:szCs w:val="22"/>
                <w:lang w:val="en-GB"/>
              </w:rPr>
              <w:t>6</w:t>
            </w:r>
          </w:p>
        </w:tc>
        <w:tc>
          <w:tcPr>
            <w:tcW w:w="0" w:type="auto"/>
          </w:tcPr>
          <w:p w:rsidR="008822B5" w:rsidRPr="00D823BE" w:rsidRDefault="008822B5" w:rsidP="007D3C40">
            <w:pPr>
              <w:jc w:val="center"/>
              <w:rPr>
                <w:color w:val="000000"/>
                <w:lang w:val="en-GB"/>
              </w:rPr>
            </w:pPr>
            <w:r w:rsidRPr="00D823BE">
              <w:rPr>
                <w:color w:val="000000"/>
                <w:sz w:val="22"/>
                <w:szCs w:val="22"/>
                <w:lang w:val="en-GB"/>
              </w:rPr>
              <w:t>139370,79</w:t>
            </w:r>
          </w:p>
        </w:tc>
        <w:tc>
          <w:tcPr>
            <w:tcW w:w="943" w:type="dxa"/>
          </w:tcPr>
          <w:p w:rsidR="008822B5" w:rsidRPr="00D823BE" w:rsidRDefault="008822B5" w:rsidP="007D3C40">
            <w:pPr>
              <w:jc w:val="center"/>
              <w:rPr>
                <w:color w:val="000000"/>
                <w:lang w:val="en-GB"/>
              </w:rPr>
            </w:pPr>
            <w:r w:rsidRPr="00D823BE">
              <w:rPr>
                <w:color w:val="000000"/>
                <w:sz w:val="22"/>
                <w:szCs w:val="22"/>
                <w:lang w:val="en-GB"/>
              </w:rPr>
              <w:t>11,21</w:t>
            </w:r>
          </w:p>
        </w:tc>
        <w:tc>
          <w:tcPr>
            <w:tcW w:w="0" w:type="auto"/>
          </w:tcPr>
          <w:p w:rsidR="008822B5" w:rsidRPr="00D823BE" w:rsidRDefault="008822B5" w:rsidP="007D3C40">
            <w:pPr>
              <w:jc w:val="center"/>
              <w:rPr>
                <w:lang w:val="en-GB"/>
              </w:rPr>
            </w:pPr>
            <w:r w:rsidRPr="00D823BE">
              <w:rPr>
                <w:sz w:val="22"/>
                <w:szCs w:val="22"/>
                <w:lang w:val="en-GB"/>
              </w:rPr>
              <w:t>7</w:t>
            </w:r>
          </w:p>
        </w:tc>
        <w:tc>
          <w:tcPr>
            <w:tcW w:w="0" w:type="auto"/>
          </w:tcPr>
          <w:p w:rsidR="008822B5" w:rsidRPr="00D823BE" w:rsidRDefault="008822B5" w:rsidP="007D3C40">
            <w:pPr>
              <w:jc w:val="center"/>
              <w:rPr>
                <w:color w:val="000000"/>
                <w:lang w:val="en-GB"/>
              </w:rPr>
            </w:pPr>
            <w:r w:rsidRPr="00D823BE">
              <w:rPr>
                <w:color w:val="000000"/>
                <w:sz w:val="22"/>
                <w:szCs w:val="22"/>
                <w:lang w:val="en-GB"/>
              </w:rPr>
              <w:t>146286,09</w:t>
            </w:r>
          </w:p>
        </w:tc>
        <w:tc>
          <w:tcPr>
            <w:tcW w:w="846" w:type="dxa"/>
          </w:tcPr>
          <w:p w:rsidR="008822B5" w:rsidRPr="00D823BE" w:rsidRDefault="008822B5" w:rsidP="007D3C40">
            <w:pPr>
              <w:jc w:val="center"/>
              <w:rPr>
                <w:color w:val="000000"/>
                <w:lang w:val="en-GB"/>
              </w:rPr>
            </w:pPr>
            <w:r w:rsidRPr="00D823BE">
              <w:rPr>
                <w:color w:val="000000"/>
                <w:sz w:val="22"/>
                <w:szCs w:val="22"/>
                <w:lang w:val="en-GB"/>
              </w:rPr>
              <w:t>16,82</w:t>
            </w:r>
          </w:p>
        </w:tc>
        <w:tc>
          <w:tcPr>
            <w:tcW w:w="0" w:type="auto"/>
          </w:tcPr>
          <w:p w:rsidR="008822B5" w:rsidRPr="00D823BE" w:rsidRDefault="008822B5" w:rsidP="007D3C40">
            <w:pPr>
              <w:jc w:val="center"/>
              <w:rPr>
                <w:color w:val="000000"/>
                <w:lang w:val="en-GB"/>
              </w:rPr>
            </w:pPr>
            <w:r w:rsidRPr="00D823BE">
              <w:rPr>
                <w:color w:val="000000"/>
                <w:sz w:val="22"/>
                <w:szCs w:val="22"/>
                <w:lang w:val="en-GB"/>
              </w:rPr>
              <w:t>2</w:t>
            </w:r>
          </w:p>
        </w:tc>
        <w:tc>
          <w:tcPr>
            <w:tcW w:w="0" w:type="auto"/>
          </w:tcPr>
          <w:p w:rsidR="008822B5" w:rsidRPr="00D823BE" w:rsidRDefault="008822B5" w:rsidP="007D3C40">
            <w:pPr>
              <w:rPr>
                <w:color w:val="000000"/>
                <w:lang w:val="en-GB"/>
              </w:rPr>
            </w:pPr>
            <w:r w:rsidRPr="00D823BE">
              <w:rPr>
                <w:color w:val="000000"/>
                <w:sz w:val="22"/>
                <w:szCs w:val="22"/>
                <w:lang w:val="en-GB"/>
              </w:rPr>
              <w:t>66621,78</w:t>
            </w:r>
          </w:p>
        </w:tc>
        <w:tc>
          <w:tcPr>
            <w:tcW w:w="837" w:type="dxa"/>
          </w:tcPr>
          <w:p w:rsidR="008822B5" w:rsidRPr="00D823BE" w:rsidRDefault="008822B5" w:rsidP="007D3C40">
            <w:pPr>
              <w:jc w:val="center"/>
              <w:rPr>
                <w:lang w:val="en-GB"/>
              </w:rPr>
            </w:pPr>
            <w:r w:rsidRPr="00D823BE">
              <w:rPr>
                <w:sz w:val="22"/>
                <w:szCs w:val="22"/>
                <w:lang w:val="en-GB"/>
              </w:rPr>
              <w:t>48,43</w:t>
            </w:r>
          </w:p>
        </w:tc>
        <w:tc>
          <w:tcPr>
            <w:tcW w:w="0" w:type="auto"/>
          </w:tcPr>
          <w:p w:rsidR="008822B5" w:rsidRPr="00D823BE" w:rsidRDefault="008822B5" w:rsidP="007D3C40">
            <w:pPr>
              <w:rPr>
                <w:color w:val="000000"/>
                <w:lang w:val="en-GB"/>
              </w:rPr>
            </w:pPr>
            <w:r w:rsidRPr="00D823BE">
              <w:rPr>
                <w:color w:val="000000"/>
                <w:sz w:val="22"/>
                <w:szCs w:val="22"/>
                <w:lang w:val="en-GB"/>
              </w:rPr>
              <w:t>40:41:19</w:t>
            </w:r>
          </w:p>
        </w:tc>
      </w:tr>
      <w:tr w:rsidR="008822B5" w:rsidRPr="00D823BE">
        <w:tc>
          <w:tcPr>
            <w:tcW w:w="0" w:type="auto"/>
          </w:tcPr>
          <w:p w:rsidR="008822B5" w:rsidRPr="00D823BE" w:rsidRDefault="008822B5" w:rsidP="007D3C40">
            <w:pPr>
              <w:jc w:val="center"/>
              <w:rPr>
                <w:b/>
                <w:bCs/>
                <w:lang w:val="en-GB"/>
              </w:rPr>
            </w:pPr>
            <w:r w:rsidRPr="00D823BE">
              <w:rPr>
                <w:b/>
                <w:bCs/>
                <w:sz w:val="22"/>
                <w:szCs w:val="22"/>
                <w:lang w:val="en-GB"/>
              </w:rPr>
              <w:t>С</w:t>
            </w:r>
          </w:p>
        </w:tc>
        <w:tc>
          <w:tcPr>
            <w:tcW w:w="0" w:type="auto"/>
          </w:tcPr>
          <w:p w:rsidR="008822B5" w:rsidRPr="00D823BE" w:rsidRDefault="008822B5" w:rsidP="007D3C40">
            <w:pPr>
              <w:jc w:val="center"/>
              <w:rPr>
                <w:lang w:val="en-GB"/>
              </w:rPr>
            </w:pPr>
            <w:r w:rsidRPr="00D823BE">
              <w:rPr>
                <w:sz w:val="22"/>
                <w:szCs w:val="22"/>
                <w:lang w:val="en-GB"/>
              </w:rPr>
              <w:t>21</w:t>
            </w:r>
          </w:p>
        </w:tc>
        <w:tc>
          <w:tcPr>
            <w:tcW w:w="0" w:type="auto"/>
          </w:tcPr>
          <w:p w:rsidR="008822B5" w:rsidRPr="00D823BE" w:rsidRDefault="008822B5" w:rsidP="007D3C40">
            <w:pPr>
              <w:jc w:val="center"/>
              <w:rPr>
                <w:color w:val="000000"/>
                <w:lang w:val="en-GB"/>
              </w:rPr>
            </w:pPr>
            <w:r w:rsidRPr="00D823BE">
              <w:rPr>
                <w:color w:val="000000"/>
                <w:sz w:val="22"/>
                <w:szCs w:val="22"/>
                <w:lang w:val="en-GB"/>
              </w:rPr>
              <w:t>22934,37</w:t>
            </w:r>
          </w:p>
        </w:tc>
        <w:tc>
          <w:tcPr>
            <w:tcW w:w="943" w:type="dxa"/>
          </w:tcPr>
          <w:p w:rsidR="008822B5" w:rsidRPr="00D823BE" w:rsidRDefault="008822B5" w:rsidP="007D3C40">
            <w:pPr>
              <w:jc w:val="center"/>
              <w:rPr>
                <w:color w:val="000000"/>
                <w:lang w:val="en-GB"/>
              </w:rPr>
            </w:pPr>
            <w:r w:rsidRPr="00D823BE">
              <w:rPr>
                <w:color w:val="000000"/>
                <w:sz w:val="22"/>
                <w:szCs w:val="22"/>
                <w:lang w:val="en-GB"/>
              </w:rPr>
              <w:t>1,84</w:t>
            </w:r>
          </w:p>
        </w:tc>
        <w:tc>
          <w:tcPr>
            <w:tcW w:w="0" w:type="auto"/>
          </w:tcPr>
          <w:p w:rsidR="008822B5" w:rsidRPr="00D823BE" w:rsidRDefault="008822B5" w:rsidP="007D3C40">
            <w:pPr>
              <w:jc w:val="center"/>
              <w:rPr>
                <w:lang w:val="en-GB"/>
              </w:rPr>
            </w:pPr>
            <w:r w:rsidRPr="00D823BE">
              <w:rPr>
                <w:sz w:val="22"/>
                <w:szCs w:val="22"/>
                <w:lang w:val="en-GB"/>
              </w:rPr>
              <w:t>52</w:t>
            </w:r>
          </w:p>
        </w:tc>
        <w:tc>
          <w:tcPr>
            <w:tcW w:w="0" w:type="auto"/>
          </w:tcPr>
          <w:p w:rsidR="008822B5" w:rsidRPr="00D823BE" w:rsidRDefault="008822B5" w:rsidP="007D3C40">
            <w:pPr>
              <w:jc w:val="center"/>
              <w:rPr>
                <w:color w:val="000000"/>
                <w:lang w:val="en-GB"/>
              </w:rPr>
            </w:pPr>
            <w:r w:rsidRPr="00D823BE">
              <w:rPr>
                <w:color w:val="000000"/>
                <w:sz w:val="22"/>
                <w:szCs w:val="22"/>
                <w:lang w:val="en-GB"/>
              </w:rPr>
              <w:t>61971,48</w:t>
            </w:r>
          </w:p>
        </w:tc>
        <w:tc>
          <w:tcPr>
            <w:tcW w:w="846" w:type="dxa"/>
          </w:tcPr>
          <w:p w:rsidR="008822B5" w:rsidRPr="00D823BE" w:rsidRDefault="008822B5" w:rsidP="007D3C40">
            <w:pPr>
              <w:jc w:val="center"/>
              <w:rPr>
                <w:color w:val="000000"/>
                <w:lang w:val="en-GB"/>
              </w:rPr>
            </w:pPr>
            <w:r w:rsidRPr="00D823BE">
              <w:rPr>
                <w:color w:val="000000"/>
                <w:sz w:val="22"/>
                <w:szCs w:val="22"/>
                <w:lang w:val="en-GB"/>
              </w:rPr>
              <w:t>7,12</w:t>
            </w:r>
          </w:p>
        </w:tc>
        <w:tc>
          <w:tcPr>
            <w:tcW w:w="0" w:type="auto"/>
          </w:tcPr>
          <w:p w:rsidR="008822B5" w:rsidRPr="00D823BE" w:rsidRDefault="008822B5" w:rsidP="007D3C40">
            <w:pPr>
              <w:jc w:val="center"/>
              <w:rPr>
                <w:color w:val="000000"/>
                <w:lang w:val="en-GB"/>
              </w:rPr>
            </w:pPr>
            <w:r w:rsidRPr="00D823BE">
              <w:rPr>
                <w:color w:val="000000"/>
                <w:sz w:val="22"/>
                <w:szCs w:val="22"/>
                <w:lang w:val="en-GB"/>
              </w:rPr>
              <w:t>17</w:t>
            </w:r>
          </w:p>
        </w:tc>
        <w:tc>
          <w:tcPr>
            <w:tcW w:w="0" w:type="auto"/>
          </w:tcPr>
          <w:p w:rsidR="008822B5" w:rsidRPr="00D823BE" w:rsidRDefault="008822B5" w:rsidP="007D3C40">
            <w:pPr>
              <w:rPr>
                <w:color w:val="000000"/>
                <w:lang w:val="en-GB"/>
              </w:rPr>
            </w:pPr>
            <w:r w:rsidRPr="00D823BE">
              <w:rPr>
                <w:color w:val="000000"/>
                <w:sz w:val="22"/>
                <w:szCs w:val="22"/>
                <w:lang w:val="en-GB"/>
              </w:rPr>
              <w:t>27445,65</w:t>
            </w:r>
          </w:p>
        </w:tc>
        <w:tc>
          <w:tcPr>
            <w:tcW w:w="837" w:type="dxa"/>
          </w:tcPr>
          <w:p w:rsidR="008822B5" w:rsidRPr="00D823BE" w:rsidRDefault="008822B5" w:rsidP="007D3C40">
            <w:pPr>
              <w:jc w:val="center"/>
              <w:rPr>
                <w:lang w:val="en-GB"/>
              </w:rPr>
            </w:pPr>
            <w:r w:rsidRPr="00D823BE">
              <w:rPr>
                <w:sz w:val="22"/>
                <w:szCs w:val="22"/>
                <w:lang w:val="en-GB"/>
              </w:rPr>
              <w:t>19,99</w:t>
            </w:r>
          </w:p>
        </w:tc>
        <w:tc>
          <w:tcPr>
            <w:tcW w:w="0" w:type="auto"/>
          </w:tcPr>
          <w:p w:rsidR="008822B5" w:rsidRPr="00D823BE" w:rsidRDefault="008822B5" w:rsidP="007D3C40">
            <w:pPr>
              <w:rPr>
                <w:color w:val="000000"/>
                <w:lang w:val="en-GB"/>
              </w:rPr>
            </w:pPr>
            <w:r w:rsidRPr="00D823BE">
              <w:rPr>
                <w:color w:val="000000"/>
                <w:sz w:val="22"/>
                <w:szCs w:val="22"/>
                <w:lang w:val="en-GB"/>
              </w:rPr>
              <w:t>20:56:24</w:t>
            </w:r>
          </w:p>
        </w:tc>
      </w:tr>
      <w:tr w:rsidR="008822B5" w:rsidRPr="00D823BE">
        <w:tc>
          <w:tcPr>
            <w:tcW w:w="0" w:type="auto"/>
          </w:tcPr>
          <w:p w:rsidR="008822B5" w:rsidRPr="00D823BE" w:rsidRDefault="008822B5" w:rsidP="007D3C40">
            <w:pPr>
              <w:rPr>
                <w:b/>
                <w:bCs/>
                <w:lang w:val="en-GB"/>
              </w:rPr>
            </w:pPr>
            <w:r w:rsidRPr="00D823BE">
              <w:rPr>
                <w:b/>
                <w:bCs/>
                <w:sz w:val="22"/>
                <w:szCs w:val="22"/>
                <w:lang w:val="en-GB"/>
              </w:rPr>
              <w:t>Total:</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35</w:t>
            </w:r>
          </w:p>
        </w:tc>
        <w:tc>
          <w:tcPr>
            <w:tcW w:w="0" w:type="auto"/>
          </w:tcPr>
          <w:p w:rsidR="008822B5" w:rsidRPr="00D823BE" w:rsidRDefault="008822B5" w:rsidP="007D3C40">
            <w:pPr>
              <w:jc w:val="center"/>
              <w:rPr>
                <w:b/>
                <w:bCs/>
                <w:color w:val="000000"/>
                <w:lang w:val="en-GB"/>
              </w:rPr>
            </w:pPr>
            <w:r w:rsidRPr="00D823BE">
              <w:rPr>
                <w:b/>
                <w:bCs/>
                <w:color w:val="000000"/>
                <w:lang w:val="en-GB"/>
              </w:rPr>
              <w:t>1244045,3</w:t>
            </w:r>
          </w:p>
        </w:tc>
        <w:tc>
          <w:tcPr>
            <w:tcW w:w="943" w:type="dxa"/>
          </w:tcPr>
          <w:p w:rsidR="008822B5" w:rsidRPr="00D823BE" w:rsidRDefault="008822B5" w:rsidP="007D3C40">
            <w:pPr>
              <w:jc w:val="center"/>
              <w:rPr>
                <w:b/>
                <w:bCs/>
                <w:color w:val="000000"/>
                <w:lang w:val="en-GB"/>
              </w:rPr>
            </w:pPr>
            <w:r w:rsidRPr="00D823BE">
              <w:rPr>
                <w:b/>
                <w:bCs/>
                <w:color w:val="000000"/>
                <w:sz w:val="22"/>
                <w:szCs w:val="22"/>
                <w:lang w:val="en-GB"/>
              </w:rPr>
              <w:t>100</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65</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870116,1</w:t>
            </w:r>
          </w:p>
        </w:tc>
        <w:tc>
          <w:tcPr>
            <w:tcW w:w="846" w:type="dxa"/>
          </w:tcPr>
          <w:p w:rsidR="008822B5" w:rsidRPr="00D823BE" w:rsidRDefault="008822B5" w:rsidP="007D3C40">
            <w:pPr>
              <w:jc w:val="center"/>
              <w:rPr>
                <w:b/>
                <w:bCs/>
                <w:color w:val="000000"/>
                <w:lang w:val="en-GB"/>
              </w:rPr>
            </w:pPr>
            <w:r w:rsidRPr="00D823BE">
              <w:rPr>
                <w:b/>
                <w:bCs/>
                <w:color w:val="000000"/>
                <w:sz w:val="22"/>
                <w:szCs w:val="22"/>
                <w:lang w:val="en-GB"/>
              </w:rPr>
              <w:t>100</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20</w:t>
            </w:r>
          </w:p>
        </w:tc>
        <w:tc>
          <w:tcPr>
            <w:tcW w:w="0" w:type="auto"/>
          </w:tcPr>
          <w:p w:rsidR="008822B5" w:rsidRPr="00D823BE" w:rsidRDefault="008822B5" w:rsidP="007D3C40">
            <w:pPr>
              <w:rPr>
                <w:b/>
                <w:bCs/>
                <w:color w:val="000000"/>
                <w:sz w:val="20"/>
                <w:szCs w:val="20"/>
                <w:lang w:val="en-GB"/>
              </w:rPr>
            </w:pPr>
            <w:r w:rsidRPr="00D823BE">
              <w:rPr>
                <w:b/>
                <w:bCs/>
                <w:color w:val="000000"/>
                <w:sz w:val="20"/>
                <w:szCs w:val="20"/>
                <w:lang w:val="en-GB"/>
              </w:rPr>
              <w:t>137276,5</w:t>
            </w:r>
          </w:p>
        </w:tc>
        <w:tc>
          <w:tcPr>
            <w:tcW w:w="837" w:type="dxa"/>
          </w:tcPr>
          <w:p w:rsidR="008822B5" w:rsidRPr="00D823BE" w:rsidRDefault="008822B5" w:rsidP="007D3C40">
            <w:pPr>
              <w:jc w:val="center"/>
              <w:rPr>
                <w:b/>
                <w:bCs/>
                <w:color w:val="000000"/>
                <w:lang w:val="en-GB"/>
              </w:rPr>
            </w:pPr>
            <w:r w:rsidRPr="00D823BE">
              <w:rPr>
                <w:b/>
                <w:bCs/>
                <w:color w:val="000000"/>
                <w:sz w:val="22"/>
                <w:szCs w:val="22"/>
                <w:lang w:val="en-GB"/>
              </w:rPr>
              <w:t>100</w:t>
            </w:r>
          </w:p>
        </w:tc>
        <w:tc>
          <w:tcPr>
            <w:tcW w:w="0" w:type="auto"/>
          </w:tcPr>
          <w:p w:rsidR="008822B5" w:rsidRPr="00D823BE" w:rsidRDefault="008822B5" w:rsidP="007D3C40">
            <w:pPr>
              <w:rPr>
                <w:b/>
                <w:bCs/>
                <w:color w:val="000000"/>
                <w:lang w:val="en-GB"/>
              </w:rPr>
            </w:pPr>
            <w:r w:rsidRPr="00D823BE">
              <w:rPr>
                <w:b/>
                <w:bCs/>
                <w:color w:val="000000"/>
                <w:sz w:val="22"/>
                <w:szCs w:val="22"/>
                <w:lang w:val="en-GB"/>
              </w:rPr>
              <w:t>55:39:6</w:t>
            </w:r>
          </w:p>
        </w:tc>
      </w:tr>
      <w:tr w:rsidR="008822B5" w:rsidRPr="00D823BE">
        <w:tc>
          <w:tcPr>
            <w:tcW w:w="9821" w:type="dxa"/>
            <w:gridSpan w:val="11"/>
          </w:tcPr>
          <w:p w:rsidR="008822B5" w:rsidRPr="00D823BE" w:rsidRDefault="008822B5" w:rsidP="007D3C40">
            <w:pPr>
              <w:jc w:val="center"/>
              <w:rPr>
                <w:b/>
                <w:bCs/>
                <w:i/>
                <w:iCs/>
                <w:sz w:val="20"/>
                <w:szCs w:val="20"/>
                <w:lang w:val="en-GB"/>
              </w:rPr>
            </w:pPr>
            <w:r w:rsidRPr="00D823BE">
              <w:rPr>
                <w:b/>
                <w:bCs/>
                <w:i/>
                <w:iCs/>
                <w:sz w:val="20"/>
                <w:szCs w:val="20"/>
                <w:lang w:val="en-GB"/>
              </w:rPr>
              <w:t>AML</w:t>
            </w:r>
          </w:p>
        </w:tc>
      </w:tr>
      <w:tr w:rsidR="008822B5" w:rsidRPr="00D823BE">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А</w:t>
            </w:r>
          </w:p>
        </w:tc>
        <w:tc>
          <w:tcPr>
            <w:tcW w:w="0" w:type="auto"/>
          </w:tcPr>
          <w:p w:rsidR="008822B5" w:rsidRPr="00D823BE" w:rsidRDefault="008822B5" w:rsidP="007D3C40">
            <w:pPr>
              <w:jc w:val="center"/>
              <w:rPr>
                <w:color w:val="000000"/>
                <w:lang w:val="en-GB"/>
              </w:rPr>
            </w:pPr>
            <w:r w:rsidRPr="00D823BE">
              <w:rPr>
                <w:color w:val="000000"/>
                <w:sz w:val="22"/>
                <w:szCs w:val="22"/>
                <w:lang w:val="en-GB"/>
              </w:rPr>
              <w:t>5</w:t>
            </w:r>
          </w:p>
        </w:tc>
        <w:tc>
          <w:tcPr>
            <w:tcW w:w="0" w:type="auto"/>
          </w:tcPr>
          <w:p w:rsidR="008822B5" w:rsidRPr="00D823BE" w:rsidRDefault="008822B5" w:rsidP="007D3C40">
            <w:pPr>
              <w:jc w:val="center"/>
              <w:rPr>
                <w:color w:val="000000"/>
                <w:lang w:val="en-GB"/>
              </w:rPr>
            </w:pPr>
            <w:r w:rsidRPr="00D823BE">
              <w:rPr>
                <w:color w:val="000000"/>
                <w:sz w:val="22"/>
                <w:szCs w:val="22"/>
                <w:lang w:val="en-GB"/>
              </w:rPr>
              <w:t>781878,26</w:t>
            </w:r>
          </w:p>
        </w:tc>
        <w:tc>
          <w:tcPr>
            <w:tcW w:w="943" w:type="dxa"/>
          </w:tcPr>
          <w:p w:rsidR="008822B5" w:rsidRPr="00D823BE" w:rsidRDefault="008822B5" w:rsidP="007D3C40">
            <w:pPr>
              <w:jc w:val="center"/>
              <w:rPr>
                <w:color w:val="000000"/>
                <w:lang w:val="en-GB"/>
              </w:rPr>
            </w:pPr>
            <w:r w:rsidRPr="00D823BE">
              <w:rPr>
                <w:color w:val="000000"/>
                <w:sz w:val="22"/>
                <w:szCs w:val="22"/>
                <w:lang w:val="en-GB"/>
              </w:rPr>
              <w:t>80,89</w:t>
            </w:r>
          </w:p>
        </w:tc>
        <w:tc>
          <w:tcPr>
            <w:tcW w:w="0" w:type="auto"/>
          </w:tcPr>
          <w:p w:rsidR="008822B5" w:rsidRPr="00D823BE" w:rsidRDefault="008822B5" w:rsidP="007D3C40">
            <w:pPr>
              <w:jc w:val="center"/>
              <w:rPr>
                <w:color w:val="000000"/>
                <w:lang w:val="en-GB"/>
              </w:rPr>
            </w:pPr>
            <w:r w:rsidRPr="00D823BE">
              <w:rPr>
                <w:color w:val="000000"/>
                <w:sz w:val="22"/>
                <w:szCs w:val="22"/>
                <w:lang w:val="en-GB"/>
              </w:rPr>
              <w:t>4</w:t>
            </w:r>
          </w:p>
        </w:tc>
        <w:tc>
          <w:tcPr>
            <w:tcW w:w="0" w:type="auto"/>
          </w:tcPr>
          <w:p w:rsidR="008822B5" w:rsidRPr="00D823BE" w:rsidRDefault="008822B5" w:rsidP="007D3C40">
            <w:pPr>
              <w:jc w:val="center"/>
              <w:rPr>
                <w:color w:val="000000"/>
                <w:lang w:val="en-GB"/>
              </w:rPr>
            </w:pPr>
            <w:r w:rsidRPr="00D823BE">
              <w:rPr>
                <w:color w:val="000000"/>
                <w:sz w:val="22"/>
                <w:szCs w:val="22"/>
                <w:lang w:val="en-GB"/>
              </w:rPr>
              <w:t>547343,96</w:t>
            </w:r>
          </w:p>
        </w:tc>
        <w:tc>
          <w:tcPr>
            <w:tcW w:w="846" w:type="dxa"/>
          </w:tcPr>
          <w:p w:rsidR="008822B5" w:rsidRPr="00D823BE" w:rsidRDefault="008822B5" w:rsidP="007D3C40">
            <w:pPr>
              <w:jc w:val="center"/>
              <w:rPr>
                <w:color w:val="000000"/>
                <w:lang w:val="en-GB"/>
              </w:rPr>
            </w:pPr>
            <w:r w:rsidRPr="00D823BE">
              <w:rPr>
                <w:color w:val="000000"/>
                <w:sz w:val="22"/>
                <w:szCs w:val="22"/>
                <w:lang w:val="en-GB"/>
              </w:rPr>
              <w:t>74,93</w:t>
            </w:r>
          </w:p>
        </w:tc>
        <w:tc>
          <w:tcPr>
            <w:tcW w:w="0" w:type="auto"/>
          </w:tcPr>
          <w:p w:rsidR="008822B5" w:rsidRPr="00D823BE" w:rsidRDefault="008822B5" w:rsidP="007D3C40">
            <w:pPr>
              <w:jc w:val="center"/>
              <w:rPr>
                <w:color w:val="000000"/>
                <w:lang w:val="en-GB"/>
              </w:rPr>
            </w:pPr>
            <w:r w:rsidRPr="00D823BE">
              <w:rPr>
                <w:color w:val="000000"/>
                <w:sz w:val="22"/>
                <w:szCs w:val="22"/>
                <w:lang w:val="en-GB"/>
              </w:rPr>
              <w:t>1</w:t>
            </w:r>
          </w:p>
        </w:tc>
        <w:tc>
          <w:tcPr>
            <w:tcW w:w="0" w:type="auto"/>
          </w:tcPr>
          <w:p w:rsidR="008822B5" w:rsidRPr="00D823BE" w:rsidRDefault="008822B5" w:rsidP="007D3C40">
            <w:pPr>
              <w:jc w:val="center"/>
              <w:rPr>
                <w:color w:val="000000"/>
                <w:lang w:val="en-GB"/>
              </w:rPr>
            </w:pPr>
            <w:r w:rsidRPr="00D823BE">
              <w:rPr>
                <w:color w:val="000000"/>
                <w:sz w:val="22"/>
                <w:szCs w:val="22"/>
                <w:lang w:val="en-GB"/>
              </w:rPr>
              <w:t>44040,96</w:t>
            </w:r>
          </w:p>
        </w:tc>
        <w:tc>
          <w:tcPr>
            <w:tcW w:w="837" w:type="dxa"/>
          </w:tcPr>
          <w:p w:rsidR="008822B5" w:rsidRPr="00D823BE" w:rsidRDefault="008822B5" w:rsidP="007D3C40">
            <w:pPr>
              <w:jc w:val="center"/>
              <w:rPr>
                <w:color w:val="000000"/>
                <w:lang w:val="en-GB"/>
              </w:rPr>
            </w:pPr>
            <w:r w:rsidRPr="00D823BE">
              <w:rPr>
                <w:color w:val="000000"/>
                <w:sz w:val="22"/>
                <w:szCs w:val="22"/>
                <w:lang w:val="en-GB"/>
              </w:rPr>
              <w:t>86,52</w:t>
            </w:r>
          </w:p>
        </w:tc>
        <w:tc>
          <w:tcPr>
            <w:tcW w:w="0" w:type="auto"/>
          </w:tcPr>
          <w:p w:rsidR="008822B5" w:rsidRPr="00D823BE" w:rsidRDefault="008822B5" w:rsidP="007D3C40">
            <w:pPr>
              <w:rPr>
                <w:color w:val="000000"/>
                <w:lang w:val="en-GB"/>
              </w:rPr>
            </w:pPr>
            <w:r w:rsidRPr="00D823BE">
              <w:rPr>
                <w:color w:val="000000"/>
                <w:sz w:val="22"/>
                <w:szCs w:val="22"/>
                <w:lang w:val="en-GB"/>
              </w:rPr>
              <w:t>57:40:3</w:t>
            </w:r>
          </w:p>
        </w:tc>
      </w:tr>
      <w:tr w:rsidR="008822B5" w:rsidRPr="00D823BE">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В</w:t>
            </w:r>
          </w:p>
        </w:tc>
        <w:tc>
          <w:tcPr>
            <w:tcW w:w="0" w:type="auto"/>
          </w:tcPr>
          <w:p w:rsidR="008822B5" w:rsidRPr="00D823BE" w:rsidRDefault="008822B5" w:rsidP="007D3C40">
            <w:pPr>
              <w:jc w:val="center"/>
              <w:rPr>
                <w:color w:val="000000"/>
                <w:lang w:val="en-GB"/>
              </w:rPr>
            </w:pPr>
            <w:r w:rsidRPr="00D823BE">
              <w:rPr>
                <w:color w:val="000000"/>
                <w:sz w:val="22"/>
                <w:szCs w:val="22"/>
                <w:lang w:val="en-GB"/>
              </w:rPr>
              <w:t>7</w:t>
            </w:r>
          </w:p>
        </w:tc>
        <w:tc>
          <w:tcPr>
            <w:tcW w:w="0" w:type="auto"/>
          </w:tcPr>
          <w:p w:rsidR="008822B5" w:rsidRPr="00D823BE" w:rsidRDefault="008822B5" w:rsidP="007D3C40">
            <w:pPr>
              <w:jc w:val="center"/>
              <w:rPr>
                <w:color w:val="000000"/>
                <w:lang w:val="en-GB"/>
              </w:rPr>
            </w:pPr>
            <w:r w:rsidRPr="00D823BE">
              <w:rPr>
                <w:color w:val="000000"/>
                <w:sz w:val="22"/>
                <w:szCs w:val="22"/>
                <w:lang w:val="en-GB"/>
              </w:rPr>
              <w:t>157663,74</w:t>
            </w:r>
          </w:p>
        </w:tc>
        <w:tc>
          <w:tcPr>
            <w:tcW w:w="943" w:type="dxa"/>
          </w:tcPr>
          <w:p w:rsidR="008822B5" w:rsidRPr="00D823BE" w:rsidRDefault="008822B5" w:rsidP="007D3C40">
            <w:pPr>
              <w:jc w:val="center"/>
              <w:rPr>
                <w:color w:val="000000"/>
                <w:lang w:val="en-GB"/>
              </w:rPr>
            </w:pPr>
            <w:r w:rsidRPr="00D823BE">
              <w:rPr>
                <w:color w:val="000000"/>
                <w:sz w:val="22"/>
                <w:szCs w:val="22"/>
                <w:lang w:val="en-GB"/>
              </w:rPr>
              <w:t>16,31</w:t>
            </w:r>
          </w:p>
        </w:tc>
        <w:tc>
          <w:tcPr>
            <w:tcW w:w="0" w:type="auto"/>
          </w:tcPr>
          <w:p w:rsidR="008822B5" w:rsidRPr="00D823BE" w:rsidRDefault="008822B5" w:rsidP="007D3C40">
            <w:pPr>
              <w:jc w:val="center"/>
              <w:rPr>
                <w:color w:val="000000"/>
                <w:lang w:val="en-GB"/>
              </w:rPr>
            </w:pPr>
            <w:r w:rsidRPr="00D823BE">
              <w:rPr>
                <w:color w:val="000000"/>
                <w:sz w:val="22"/>
                <w:szCs w:val="22"/>
                <w:lang w:val="en-GB"/>
              </w:rPr>
              <w:t>5</w:t>
            </w:r>
          </w:p>
        </w:tc>
        <w:tc>
          <w:tcPr>
            <w:tcW w:w="0" w:type="auto"/>
          </w:tcPr>
          <w:p w:rsidR="008822B5" w:rsidRPr="00D823BE" w:rsidRDefault="008822B5" w:rsidP="007D3C40">
            <w:pPr>
              <w:jc w:val="center"/>
              <w:rPr>
                <w:color w:val="000000"/>
                <w:lang w:val="en-GB"/>
              </w:rPr>
            </w:pPr>
            <w:r w:rsidRPr="00D823BE">
              <w:rPr>
                <w:color w:val="000000"/>
                <w:sz w:val="22"/>
                <w:szCs w:val="22"/>
                <w:lang w:val="en-GB"/>
              </w:rPr>
              <w:t>115495,92</w:t>
            </w:r>
          </w:p>
        </w:tc>
        <w:tc>
          <w:tcPr>
            <w:tcW w:w="846" w:type="dxa"/>
          </w:tcPr>
          <w:p w:rsidR="008822B5" w:rsidRPr="00D823BE" w:rsidRDefault="008822B5" w:rsidP="007D3C40">
            <w:pPr>
              <w:jc w:val="center"/>
              <w:rPr>
                <w:color w:val="000000"/>
                <w:lang w:val="en-GB"/>
              </w:rPr>
            </w:pPr>
            <w:r w:rsidRPr="00D823BE">
              <w:rPr>
                <w:color w:val="000000"/>
                <w:sz w:val="22"/>
                <w:szCs w:val="22"/>
                <w:lang w:val="en-GB"/>
              </w:rPr>
              <w:t>18,29</w:t>
            </w:r>
          </w:p>
        </w:tc>
        <w:tc>
          <w:tcPr>
            <w:tcW w:w="0" w:type="auto"/>
          </w:tcPr>
          <w:p w:rsidR="008822B5" w:rsidRPr="00D823BE" w:rsidRDefault="008822B5" w:rsidP="007D3C40">
            <w:pPr>
              <w:jc w:val="center"/>
              <w:rPr>
                <w:color w:val="000000"/>
                <w:lang w:val="en-GB"/>
              </w:rPr>
            </w:pPr>
            <w:r w:rsidRPr="00D823BE">
              <w:rPr>
                <w:color w:val="000000"/>
                <w:sz w:val="22"/>
                <w:szCs w:val="22"/>
                <w:lang w:val="en-GB"/>
              </w:rPr>
              <w:t>0</w:t>
            </w:r>
          </w:p>
        </w:tc>
        <w:tc>
          <w:tcPr>
            <w:tcW w:w="0" w:type="auto"/>
          </w:tcPr>
          <w:p w:rsidR="008822B5" w:rsidRPr="00D823BE" w:rsidRDefault="008822B5" w:rsidP="007D3C40">
            <w:pPr>
              <w:jc w:val="center"/>
              <w:rPr>
                <w:color w:val="000000"/>
                <w:lang w:val="en-GB"/>
              </w:rPr>
            </w:pPr>
            <w:r w:rsidRPr="00D823BE">
              <w:rPr>
                <w:color w:val="000000"/>
                <w:sz w:val="22"/>
                <w:szCs w:val="22"/>
                <w:lang w:val="en-GB"/>
              </w:rPr>
              <w:t>-</w:t>
            </w:r>
          </w:p>
        </w:tc>
        <w:tc>
          <w:tcPr>
            <w:tcW w:w="837" w:type="dxa"/>
          </w:tcPr>
          <w:p w:rsidR="008822B5" w:rsidRPr="00D823BE" w:rsidRDefault="008822B5" w:rsidP="007D3C40">
            <w:pPr>
              <w:jc w:val="center"/>
              <w:rPr>
                <w:color w:val="000000"/>
                <w:lang w:val="en-GB"/>
              </w:rPr>
            </w:pPr>
            <w:r w:rsidRPr="00D823BE">
              <w:rPr>
                <w:color w:val="000000"/>
                <w:sz w:val="22"/>
                <w:szCs w:val="22"/>
                <w:lang w:val="en-GB"/>
              </w:rPr>
              <w:t>-</w:t>
            </w:r>
          </w:p>
        </w:tc>
        <w:tc>
          <w:tcPr>
            <w:tcW w:w="0" w:type="auto"/>
          </w:tcPr>
          <w:p w:rsidR="008822B5" w:rsidRPr="00D823BE" w:rsidRDefault="008822B5" w:rsidP="007D3C40">
            <w:pPr>
              <w:rPr>
                <w:color w:val="000000"/>
                <w:lang w:val="en-GB"/>
              </w:rPr>
            </w:pPr>
            <w:r w:rsidRPr="00D823BE">
              <w:rPr>
                <w:color w:val="000000"/>
                <w:sz w:val="22"/>
                <w:szCs w:val="22"/>
                <w:lang w:val="en-GB"/>
              </w:rPr>
              <w:t>58:42:0</w:t>
            </w:r>
          </w:p>
        </w:tc>
      </w:tr>
      <w:tr w:rsidR="008822B5" w:rsidRPr="00D823BE">
        <w:trPr>
          <w:trHeight w:val="337"/>
        </w:trPr>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С</w:t>
            </w:r>
          </w:p>
        </w:tc>
        <w:tc>
          <w:tcPr>
            <w:tcW w:w="0" w:type="auto"/>
          </w:tcPr>
          <w:p w:rsidR="008822B5" w:rsidRPr="00D823BE" w:rsidRDefault="008822B5" w:rsidP="007D3C40">
            <w:pPr>
              <w:jc w:val="center"/>
              <w:rPr>
                <w:color w:val="000000"/>
                <w:lang w:val="en-GB"/>
              </w:rPr>
            </w:pPr>
            <w:r w:rsidRPr="00D823BE">
              <w:rPr>
                <w:color w:val="000000"/>
                <w:sz w:val="22"/>
                <w:szCs w:val="22"/>
                <w:lang w:val="en-GB"/>
              </w:rPr>
              <w:t>32</w:t>
            </w:r>
          </w:p>
        </w:tc>
        <w:tc>
          <w:tcPr>
            <w:tcW w:w="0" w:type="auto"/>
          </w:tcPr>
          <w:p w:rsidR="008822B5" w:rsidRPr="00D823BE" w:rsidRDefault="008822B5" w:rsidP="007D3C40">
            <w:pPr>
              <w:jc w:val="center"/>
              <w:rPr>
                <w:color w:val="000000"/>
                <w:lang w:val="en-GB"/>
              </w:rPr>
            </w:pPr>
            <w:r w:rsidRPr="00D823BE">
              <w:rPr>
                <w:color w:val="000000"/>
                <w:sz w:val="22"/>
                <w:szCs w:val="22"/>
                <w:lang w:val="en-GB"/>
              </w:rPr>
              <w:t>27098,76</w:t>
            </w:r>
          </w:p>
        </w:tc>
        <w:tc>
          <w:tcPr>
            <w:tcW w:w="943" w:type="dxa"/>
          </w:tcPr>
          <w:p w:rsidR="008822B5" w:rsidRPr="00D823BE" w:rsidRDefault="008822B5" w:rsidP="007D3C40">
            <w:pPr>
              <w:jc w:val="center"/>
              <w:rPr>
                <w:color w:val="000000"/>
                <w:lang w:val="en-GB"/>
              </w:rPr>
            </w:pPr>
            <w:r w:rsidRPr="00D823BE">
              <w:rPr>
                <w:color w:val="000000"/>
                <w:sz w:val="22"/>
                <w:szCs w:val="22"/>
                <w:lang w:val="en-GB"/>
              </w:rPr>
              <w:t>2,8</w:t>
            </w:r>
          </w:p>
        </w:tc>
        <w:tc>
          <w:tcPr>
            <w:tcW w:w="0" w:type="auto"/>
          </w:tcPr>
          <w:p w:rsidR="008822B5" w:rsidRPr="00D823BE" w:rsidRDefault="008822B5" w:rsidP="007D3C40">
            <w:pPr>
              <w:jc w:val="center"/>
              <w:rPr>
                <w:color w:val="000000"/>
                <w:lang w:val="en-GB"/>
              </w:rPr>
            </w:pPr>
            <w:r w:rsidRPr="00D823BE">
              <w:rPr>
                <w:color w:val="000000"/>
                <w:sz w:val="22"/>
                <w:szCs w:val="22"/>
                <w:lang w:val="en-GB"/>
              </w:rPr>
              <w:t>59</w:t>
            </w:r>
          </w:p>
        </w:tc>
        <w:tc>
          <w:tcPr>
            <w:tcW w:w="0" w:type="auto"/>
          </w:tcPr>
          <w:p w:rsidR="008822B5" w:rsidRPr="00D823BE" w:rsidRDefault="008822B5" w:rsidP="007D3C40">
            <w:pPr>
              <w:jc w:val="center"/>
              <w:rPr>
                <w:color w:val="000000"/>
                <w:lang w:val="en-GB"/>
              </w:rPr>
            </w:pPr>
            <w:r w:rsidRPr="00D823BE">
              <w:rPr>
                <w:color w:val="000000"/>
                <w:sz w:val="22"/>
                <w:szCs w:val="22"/>
                <w:lang w:val="en-GB"/>
              </w:rPr>
              <w:t>47383,84</w:t>
            </w:r>
          </w:p>
        </w:tc>
        <w:tc>
          <w:tcPr>
            <w:tcW w:w="846" w:type="dxa"/>
          </w:tcPr>
          <w:p w:rsidR="008822B5" w:rsidRPr="00D823BE" w:rsidRDefault="008822B5" w:rsidP="007D3C40">
            <w:pPr>
              <w:jc w:val="center"/>
              <w:rPr>
                <w:color w:val="000000"/>
                <w:lang w:val="en-GB"/>
              </w:rPr>
            </w:pPr>
            <w:r w:rsidRPr="00D823BE">
              <w:rPr>
                <w:color w:val="000000"/>
                <w:sz w:val="22"/>
                <w:szCs w:val="22"/>
                <w:lang w:val="en-GB"/>
              </w:rPr>
              <w:t>6,78</w:t>
            </w:r>
          </w:p>
        </w:tc>
        <w:tc>
          <w:tcPr>
            <w:tcW w:w="0" w:type="auto"/>
          </w:tcPr>
          <w:p w:rsidR="008822B5" w:rsidRPr="00D823BE" w:rsidRDefault="008822B5" w:rsidP="007D3C40">
            <w:pPr>
              <w:jc w:val="center"/>
              <w:rPr>
                <w:color w:val="000000"/>
                <w:lang w:val="en-GB"/>
              </w:rPr>
            </w:pPr>
            <w:r w:rsidRPr="00D823BE">
              <w:rPr>
                <w:color w:val="000000"/>
                <w:sz w:val="22"/>
                <w:szCs w:val="22"/>
                <w:lang w:val="en-GB"/>
              </w:rPr>
              <w:t>19</w:t>
            </w:r>
          </w:p>
        </w:tc>
        <w:tc>
          <w:tcPr>
            <w:tcW w:w="0" w:type="auto"/>
          </w:tcPr>
          <w:p w:rsidR="008822B5" w:rsidRPr="00D823BE" w:rsidRDefault="008822B5" w:rsidP="007D3C40">
            <w:pPr>
              <w:jc w:val="center"/>
              <w:rPr>
                <w:color w:val="000000"/>
                <w:lang w:val="en-GB"/>
              </w:rPr>
            </w:pPr>
            <w:r w:rsidRPr="00D823BE">
              <w:rPr>
                <w:color w:val="000000"/>
                <w:sz w:val="22"/>
                <w:szCs w:val="22"/>
                <w:lang w:val="en-GB"/>
              </w:rPr>
              <w:t>15399,16</w:t>
            </w:r>
          </w:p>
        </w:tc>
        <w:tc>
          <w:tcPr>
            <w:tcW w:w="837" w:type="dxa"/>
          </w:tcPr>
          <w:p w:rsidR="008822B5" w:rsidRPr="00D823BE" w:rsidRDefault="008822B5" w:rsidP="007D3C40">
            <w:pPr>
              <w:jc w:val="center"/>
              <w:rPr>
                <w:color w:val="000000"/>
                <w:lang w:val="en-GB"/>
              </w:rPr>
            </w:pPr>
            <w:r w:rsidRPr="00D823BE">
              <w:rPr>
                <w:color w:val="000000"/>
                <w:sz w:val="22"/>
                <w:szCs w:val="22"/>
                <w:lang w:val="en-GB"/>
              </w:rPr>
              <w:t>13,48</w:t>
            </w:r>
          </w:p>
        </w:tc>
        <w:tc>
          <w:tcPr>
            <w:tcW w:w="0" w:type="auto"/>
          </w:tcPr>
          <w:p w:rsidR="008822B5" w:rsidRPr="00D823BE" w:rsidRDefault="008822B5" w:rsidP="007D3C40">
            <w:pPr>
              <w:rPr>
                <w:color w:val="000000"/>
                <w:lang w:val="en-GB"/>
              </w:rPr>
            </w:pPr>
            <w:r w:rsidRPr="00D823BE">
              <w:rPr>
                <w:color w:val="000000"/>
                <w:sz w:val="22"/>
                <w:szCs w:val="22"/>
                <w:lang w:val="en-GB"/>
              </w:rPr>
              <w:t>27:55:18</w:t>
            </w:r>
          </w:p>
        </w:tc>
      </w:tr>
      <w:tr w:rsidR="008822B5" w:rsidRPr="00D823BE">
        <w:tc>
          <w:tcPr>
            <w:tcW w:w="0" w:type="auto"/>
          </w:tcPr>
          <w:p w:rsidR="008822B5" w:rsidRPr="00D823BE" w:rsidRDefault="008822B5" w:rsidP="007D3C40">
            <w:pPr>
              <w:jc w:val="center"/>
              <w:rPr>
                <w:b/>
                <w:bCs/>
                <w:color w:val="000000"/>
                <w:lang w:val="en-GB"/>
              </w:rPr>
            </w:pPr>
            <w:r w:rsidRPr="00D823BE">
              <w:rPr>
                <w:b/>
                <w:bCs/>
                <w:sz w:val="22"/>
                <w:szCs w:val="22"/>
                <w:lang w:val="en-GB"/>
              </w:rPr>
              <w:t>Total</w:t>
            </w:r>
            <w:r w:rsidRPr="00D823BE">
              <w:rPr>
                <w:b/>
                <w:bCs/>
                <w:color w:val="000000"/>
                <w:sz w:val="22"/>
                <w:szCs w:val="22"/>
                <w:lang w:val="en-GB"/>
              </w:rPr>
              <w:t>:</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44</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966640,76</w:t>
            </w:r>
          </w:p>
        </w:tc>
        <w:tc>
          <w:tcPr>
            <w:tcW w:w="943" w:type="dxa"/>
          </w:tcPr>
          <w:p w:rsidR="008822B5" w:rsidRPr="00D823BE" w:rsidRDefault="008822B5" w:rsidP="007D3C40">
            <w:pPr>
              <w:jc w:val="center"/>
              <w:rPr>
                <w:b/>
                <w:bCs/>
                <w:color w:val="000000"/>
                <w:lang w:val="en-GB"/>
              </w:rPr>
            </w:pPr>
            <w:r w:rsidRPr="00D823BE">
              <w:rPr>
                <w:b/>
                <w:bCs/>
                <w:color w:val="000000"/>
                <w:sz w:val="22"/>
                <w:szCs w:val="22"/>
                <w:lang w:val="en-GB"/>
              </w:rPr>
              <w:t>100</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68</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710223,7</w:t>
            </w:r>
          </w:p>
        </w:tc>
        <w:tc>
          <w:tcPr>
            <w:tcW w:w="846" w:type="dxa"/>
          </w:tcPr>
          <w:p w:rsidR="008822B5" w:rsidRPr="00D823BE" w:rsidRDefault="008822B5" w:rsidP="007D3C40">
            <w:pPr>
              <w:jc w:val="center"/>
              <w:rPr>
                <w:b/>
                <w:bCs/>
                <w:color w:val="000000"/>
                <w:lang w:val="en-GB"/>
              </w:rPr>
            </w:pPr>
            <w:r w:rsidRPr="00D823BE">
              <w:rPr>
                <w:b/>
                <w:bCs/>
                <w:color w:val="000000"/>
                <w:sz w:val="22"/>
                <w:szCs w:val="22"/>
                <w:lang w:val="en-GB"/>
              </w:rPr>
              <w:t>100</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20</w:t>
            </w:r>
          </w:p>
        </w:tc>
        <w:tc>
          <w:tcPr>
            <w:tcW w:w="0" w:type="auto"/>
          </w:tcPr>
          <w:p w:rsidR="008822B5" w:rsidRPr="00D823BE" w:rsidRDefault="008822B5" w:rsidP="007D3C40">
            <w:pPr>
              <w:jc w:val="center"/>
              <w:rPr>
                <w:b/>
                <w:bCs/>
                <w:color w:val="000000"/>
                <w:lang w:val="en-GB"/>
              </w:rPr>
            </w:pPr>
            <w:r w:rsidRPr="00D823BE">
              <w:rPr>
                <w:b/>
                <w:bCs/>
                <w:color w:val="000000"/>
                <w:sz w:val="22"/>
                <w:szCs w:val="22"/>
                <w:lang w:val="en-GB"/>
              </w:rPr>
              <w:t>59440,1</w:t>
            </w:r>
          </w:p>
        </w:tc>
        <w:tc>
          <w:tcPr>
            <w:tcW w:w="837" w:type="dxa"/>
          </w:tcPr>
          <w:p w:rsidR="008822B5" w:rsidRPr="00D823BE" w:rsidRDefault="008822B5" w:rsidP="007D3C40">
            <w:pPr>
              <w:jc w:val="center"/>
              <w:rPr>
                <w:b/>
                <w:bCs/>
                <w:color w:val="000000"/>
                <w:lang w:val="en-GB"/>
              </w:rPr>
            </w:pPr>
            <w:r w:rsidRPr="00D823BE">
              <w:rPr>
                <w:b/>
                <w:bCs/>
                <w:color w:val="000000"/>
                <w:sz w:val="22"/>
                <w:szCs w:val="22"/>
                <w:lang w:val="en-GB"/>
              </w:rPr>
              <w:t>100</w:t>
            </w:r>
          </w:p>
        </w:tc>
        <w:tc>
          <w:tcPr>
            <w:tcW w:w="0" w:type="auto"/>
          </w:tcPr>
          <w:p w:rsidR="008822B5" w:rsidRPr="00D823BE" w:rsidRDefault="008822B5" w:rsidP="007D3C40">
            <w:pPr>
              <w:rPr>
                <w:b/>
                <w:bCs/>
                <w:color w:val="000000"/>
                <w:lang w:val="en-GB"/>
              </w:rPr>
            </w:pPr>
            <w:r w:rsidRPr="00D823BE">
              <w:rPr>
                <w:b/>
                <w:bCs/>
                <w:color w:val="000000"/>
                <w:sz w:val="22"/>
                <w:szCs w:val="22"/>
                <w:lang w:val="en-GB"/>
              </w:rPr>
              <w:t>56:41:3</w:t>
            </w:r>
          </w:p>
        </w:tc>
      </w:tr>
    </w:tbl>
    <w:p w:rsidR="008822B5" w:rsidRDefault="008822B5" w:rsidP="008A5CF1">
      <w:pPr>
        <w:autoSpaceDE w:val="0"/>
        <w:autoSpaceDN w:val="0"/>
        <w:adjustRightInd w:val="0"/>
        <w:spacing w:line="360" w:lineRule="auto"/>
        <w:ind w:right="142"/>
        <w:jc w:val="right"/>
        <w:textAlignment w:val="center"/>
        <w:rPr>
          <w:sz w:val="28"/>
          <w:szCs w:val="28"/>
          <w:lang w:val="en-GB"/>
        </w:rPr>
      </w:pPr>
    </w:p>
    <w:p w:rsidR="008822B5" w:rsidRPr="00D823BE" w:rsidRDefault="008822B5" w:rsidP="008A5CF1">
      <w:pPr>
        <w:autoSpaceDE w:val="0"/>
        <w:autoSpaceDN w:val="0"/>
        <w:adjustRightInd w:val="0"/>
        <w:spacing w:line="360" w:lineRule="auto"/>
        <w:ind w:right="142"/>
        <w:jc w:val="right"/>
        <w:textAlignment w:val="center"/>
        <w:rPr>
          <w:color w:val="000000"/>
          <w:sz w:val="28"/>
          <w:szCs w:val="28"/>
          <w:lang w:val="en-GB"/>
        </w:rPr>
      </w:pPr>
      <w:r>
        <w:rPr>
          <w:sz w:val="28"/>
          <w:szCs w:val="28"/>
          <w:lang w:val="en-GB"/>
        </w:rPr>
        <w:br w:type="page"/>
      </w:r>
      <w:r w:rsidRPr="00D823BE">
        <w:rPr>
          <w:sz w:val="28"/>
          <w:szCs w:val="28"/>
          <w:lang w:val="en-GB"/>
        </w:rPr>
        <w:t xml:space="preserve">Table </w:t>
      </w:r>
      <w:r w:rsidRPr="00D823BE">
        <w:rPr>
          <w:color w:val="000000"/>
          <w:sz w:val="28"/>
          <w:szCs w:val="28"/>
          <w:lang w:val="en-GB"/>
        </w:rPr>
        <w:t>3</w:t>
      </w:r>
    </w:p>
    <w:p w:rsidR="008822B5" w:rsidRPr="00D823BE" w:rsidRDefault="008822B5" w:rsidP="008A5CF1">
      <w:pPr>
        <w:autoSpaceDE w:val="0"/>
        <w:autoSpaceDN w:val="0"/>
        <w:adjustRightInd w:val="0"/>
        <w:ind w:right="142"/>
        <w:jc w:val="center"/>
        <w:textAlignment w:val="center"/>
        <w:rPr>
          <w:color w:val="000000"/>
          <w:sz w:val="28"/>
          <w:szCs w:val="28"/>
          <w:lang w:val="en-GB"/>
        </w:rPr>
      </w:pPr>
      <w:r w:rsidRPr="00D823BE">
        <w:rPr>
          <w:b/>
          <w:bCs/>
          <w:color w:val="000000"/>
          <w:sz w:val="28"/>
          <w:szCs w:val="28"/>
          <w:lang w:val="en-GB"/>
        </w:rPr>
        <w:t xml:space="preserve">Matrix projection of integrated ABC / VEN-analysis of consumption of </w:t>
      </w:r>
      <w:r w:rsidRPr="00D823BE">
        <w:rPr>
          <w:b/>
          <w:bCs/>
          <w:sz w:val="28"/>
          <w:szCs w:val="28"/>
          <w:lang w:val="en-GB"/>
        </w:rPr>
        <w:t>drugs by</w:t>
      </w:r>
      <w:r w:rsidRPr="00D823BE">
        <w:rPr>
          <w:b/>
          <w:bCs/>
          <w:color w:val="000000"/>
          <w:sz w:val="28"/>
          <w:szCs w:val="28"/>
          <w:lang w:val="en-GB"/>
        </w:rPr>
        <w:t xml:space="preserve"> patients with acute forms of leukemias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1260"/>
        <w:gridCol w:w="1311"/>
        <w:gridCol w:w="1238"/>
        <w:gridCol w:w="1311"/>
        <w:gridCol w:w="1238"/>
        <w:gridCol w:w="1304"/>
      </w:tblGrid>
      <w:tr w:rsidR="008822B5" w:rsidRPr="00D823BE">
        <w:trPr>
          <w:trHeight w:val="640"/>
        </w:trPr>
        <w:tc>
          <w:tcPr>
            <w:tcW w:w="997" w:type="pct"/>
            <w:vMerge w:val="restart"/>
          </w:tcPr>
          <w:p w:rsidR="008822B5" w:rsidRPr="00D823BE" w:rsidRDefault="008822B5" w:rsidP="007D3C40">
            <w:pPr>
              <w:autoSpaceDE w:val="0"/>
              <w:autoSpaceDN w:val="0"/>
              <w:adjustRightInd w:val="0"/>
              <w:ind w:right="142"/>
              <w:jc w:val="center"/>
              <w:textAlignment w:val="center"/>
              <w:rPr>
                <w:color w:val="000000"/>
                <w:lang w:val="en-GB"/>
              </w:rPr>
            </w:pPr>
          </w:p>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Groups of analyses</w:t>
            </w:r>
          </w:p>
          <w:p w:rsidR="008822B5" w:rsidRPr="00D823BE" w:rsidRDefault="008822B5" w:rsidP="007D3C40">
            <w:pPr>
              <w:autoSpaceDE w:val="0"/>
              <w:autoSpaceDN w:val="0"/>
              <w:adjustRightInd w:val="0"/>
              <w:ind w:right="142"/>
              <w:jc w:val="both"/>
              <w:textAlignment w:val="center"/>
              <w:rPr>
                <w:color w:val="000000"/>
                <w:lang w:val="en-GB"/>
              </w:rPr>
            </w:pPr>
          </w:p>
        </w:tc>
        <w:tc>
          <w:tcPr>
            <w:tcW w:w="1343" w:type="pct"/>
            <w:gridSpan w:val="2"/>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 xml:space="preserve">The share of drugs from the group </w:t>
            </w:r>
            <w:r w:rsidRPr="00D823BE">
              <w:rPr>
                <w:b/>
                <w:bCs/>
                <w:color w:val="000000"/>
                <w:lang w:val="en-GB"/>
              </w:rPr>
              <w:t>V</w:t>
            </w:r>
          </w:p>
        </w:tc>
        <w:tc>
          <w:tcPr>
            <w:tcW w:w="1332" w:type="pct"/>
            <w:gridSpan w:val="2"/>
          </w:tcPr>
          <w:p w:rsidR="008822B5" w:rsidRPr="00D823BE" w:rsidRDefault="008822B5" w:rsidP="007D3C40">
            <w:pPr>
              <w:autoSpaceDE w:val="0"/>
              <w:autoSpaceDN w:val="0"/>
              <w:adjustRightInd w:val="0"/>
              <w:ind w:right="142"/>
              <w:jc w:val="center"/>
              <w:textAlignment w:val="center"/>
              <w:rPr>
                <w:b/>
                <w:bCs/>
                <w:color w:val="000000"/>
                <w:lang w:val="en-GB"/>
              </w:rPr>
            </w:pPr>
            <w:r w:rsidRPr="00D823BE">
              <w:rPr>
                <w:color w:val="000000"/>
                <w:lang w:val="en-GB"/>
              </w:rPr>
              <w:t xml:space="preserve">The share of drugs from the group </w:t>
            </w:r>
            <w:r w:rsidRPr="00D823BE">
              <w:rPr>
                <w:b/>
                <w:bCs/>
                <w:color w:val="000000"/>
                <w:lang w:val="en-GB"/>
              </w:rPr>
              <w:t>E</w:t>
            </w:r>
          </w:p>
        </w:tc>
        <w:tc>
          <w:tcPr>
            <w:tcW w:w="1328" w:type="pct"/>
            <w:gridSpan w:val="2"/>
          </w:tcPr>
          <w:p w:rsidR="008822B5" w:rsidRPr="00D823BE" w:rsidRDefault="008822B5" w:rsidP="007D3C40">
            <w:pPr>
              <w:autoSpaceDE w:val="0"/>
              <w:autoSpaceDN w:val="0"/>
              <w:adjustRightInd w:val="0"/>
              <w:ind w:right="142"/>
              <w:jc w:val="center"/>
              <w:textAlignment w:val="center"/>
              <w:rPr>
                <w:b/>
                <w:bCs/>
                <w:color w:val="000000"/>
                <w:lang w:val="en-GB"/>
              </w:rPr>
            </w:pPr>
            <w:r w:rsidRPr="00D823BE">
              <w:rPr>
                <w:color w:val="000000"/>
                <w:lang w:val="en-GB"/>
              </w:rPr>
              <w:t xml:space="preserve">The share of drugs from the group </w:t>
            </w:r>
            <w:r w:rsidRPr="00D823BE">
              <w:rPr>
                <w:b/>
                <w:bCs/>
                <w:color w:val="000000"/>
                <w:lang w:val="en-GB"/>
              </w:rPr>
              <w:t>N</w:t>
            </w:r>
          </w:p>
        </w:tc>
      </w:tr>
      <w:tr w:rsidR="008822B5" w:rsidRPr="00D823BE">
        <w:tc>
          <w:tcPr>
            <w:tcW w:w="997" w:type="pct"/>
            <w:vMerge/>
          </w:tcPr>
          <w:p w:rsidR="008822B5" w:rsidRPr="00D823BE" w:rsidRDefault="008822B5" w:rsidP="007D3C40">
            <w:pPr>
              <w:autoSpaceDE w:val="0"/>
              <w:autoSpaceDN w:val="0"/>
              <w:adjustRightInd w:val="0"/>
              <w:ind w:right="142"/>
              <w:jc w:val="both"/>
              <w:textAlignment w:val="center"/>
              <w:rPr>
                <w:color w:val="000000"/>
                <w:lang w:val="en-GB"/>
              </w:rPr>
            </w:pPr>
          </w:p>
        </w:tc>
        <w:tc>
          <w:tcPr>
            <w:tcW w:w="658"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ALL</w:t>
            </w:r>
          </w:p>
        </w:tc>
        <w:tc>
          <w:tcPr>
            <w:tcW w:w="685" w:type="pct"/>
          </w:tcPr>
          <w:p w:rsidR="008822B5" w:rsidRPr="00D823BE" w:rsidRDefault="008822B5" w:rsidP="0060607C">
            <w:pPr>
              <w:autoSpaceDE w:val="0"/>
              <w:autoSpaceDN w:val="0"/>
              <w:adjustRightInd w:val="0"/>
              <w:ind w:right="142"/>
              <w:jc w:val="center"/>
              <w:textAlignment w:val="center"/>
              <w:rPr>
                <w:color w:val="000000"/>
                <w:lang w:val="en-GB"/>
              </w:rPr>
            </w:pPr>
            <w:r w:rsidRPr="00D823BE">
              <w:rPr>
                <w:color w:val="000000"/>
                <w:lang w:val="en-GB"/>
              </w:rPr>
              <w:t>AМL</w:t>
            </w:r>
          </w:p>
        </w:tc>
        <w:tc>
          <w:tcPr>
            <w:tcW w:w="647" w:type="pct"/>
          </w:tcPr>
          <w:p w:rsidR="008822B5" w:rsidRPr="00D823BE" w:rsidRDefault="008822B5" w:rsidP="003E16FC">
            <w:pPr>
              <w:autoSpaceDE w:val="0"/>
              <w:autoSpaceDN w:val="0"/>
              <w:adjustRightInd w:val="0"/>
              <w:ind w:right="142"/>
              <w:jc w:val="center"/>
              <w:textAlignment w:val="center"/>
              <w:rPr>
                <w:color w:val="000000"/>
                <w:lang w:val="en-GB"/>
              </w:rPr>
            </w:pPr>
            <w:r w:rsidRPr="00D823BE">
              <w:rPr>
                <w:color w:val="000000"/>
                <w:lang w:val="en-GB"/>
              </w:rPr>
              <w:t>ALL</w:t>
            </w:r>
          </w:p>
        </w:tc>
        <w:tc>
          <w:tcPr>
            <w:tcW w:w="685" w:type="pct"/>
          </w:tcPr>
          <w:p w:rsidR="008822B5" w:rsidRPr="00D823BE" w:rsidRDefault="008822B5" w:rsidP="003E16FC">
            <w:pPr>
              <w:autoSpaceDE w:val="0"/>
              <w:autoSpaceDN w:val="0"/>
              <w:adjustRightInd w:val="0"/>
              <w:ind w:right="142"/>
              <w:jc w:val="center"/>
              <w:textAlignment w:val="center"/>
              <w:rPr>
                <w:color w:val="000000"/>
                <w:lang w:val="en-GB"/>
              </w:rPr>
            </w:pPr>
            <w:r w:rsidRPr="00D823BE">
              <w:rPr>
                <w:color w:val="000000"/>
                <w:lang w:val="en-GB"/>
              </w:rPr>
              <w:t>AМL</w:t>
            </w:r>
          </w:p>
        </w:tc>
        <w:tc>
          <w:tcPr>
            <w:tcW w:w="647" w:type="pct"/>
          </w:tcPr>
          <w:p w:rsidR="008822B5" w:rsidRPr="00D823BE" w:rsidRDefault="008822B5" w:rsidP="003E16FC">
            <w:pPr>
              <w:autoSpaceDE w:val="0"/>
              <w:autoSpaceDN w:val="0"/>
              <w:adjustRightInd w:val="0"/>
              <w:ind w:right="142"/>
              <w:jc w:val="center"/>
              <w:textAlignment w:val="center"/>
              <w:rPr>
                <w:color w:val="000000"/>
                <w:lang w:val="en-GB"/>
              </w:rPr>
            </w:pPr>
            <w:r w:rsidRPr="00D823BE">
              <w:rPr>
                <w:color w:val="000000"/>
                <w:lang w:val="en-GB"/>
              </w:rPr>
              <w:t>ALL</w:t>
            </w:r>
          </w:p>
        </w:tc>
        <w:tc>
          <w:tcPr>
            <w:tcW w:w="682" w:type="pct"/>
          </w:tcPr>
          <w:p w:rsidR="008822B5" w:rsidRPr="00D823BE" w:rsidRDefault="008822B5" w:rsidP="003E16FC">
            <w:pPr>
              <w:autoSpaceDE w:val="0"/>
              <w:autoSpaceDN w:val="0"/>
              <w:adjustRightInd w:val="0"/>
              <w:ind w:right="142"/>
              <w:jc w:val="center"/>
              <w:textAlignment w:val="center"/>
              <w:rPr>
                <w:color w:val="000000"/>
                <w:lang w:val="en-GB"/>
              </w:rPr>
            </w:pPr>
            <w:r w:rsidRPr="00D823BE">
              <w:rPr>
                <w:color w:val="000000"/>
                <w:lang w:val="en-GB"/>
              </w:rPr>
              <w:t>AМL</w:t>
            </w:r>
          </w:p>
        </w:tc>
      </w:tr>
      <w:tr w:rsidR="008822B5" w:rsidRPr="00D823BE">
        <w:tc>
          <w:tcPr>
            <w:tcW w:w="997" w:type="pct"/>
          </w:tcPr>
          <w:p w:rsidR="008822B5" w:rsidRPr="00D823BE" w:rsidRDefault="008822B5" w:rsidP="007D3C40">
            <w:pPr>
              <w:autoSpaceDE w:val="0"/>
              <w:autoSpaceDN w:val="0"/>
              <w:adjustRightInd w:val="0"/>
              <w:ind w:right="142"/>
              <w:textAlignment w:val="center"/>
              <w:rPr>
                <w:b/>
                <w:bCs/>
                <w:color w:val="000000"/>
                <w:lang w:val="en-GB"/>
              </w:rPr>
            </w:pPr>
            <w:r w:rsidRPr="00D823BE">
              <w:rPr>
                <w:color w:val="000000"/>
                <w:lang w:val="en-GB"/>
              </w:rPr>
              <w:t xml:space="preserve">The share of drugs from the group </w:t>
            </w:r>
            <w:r w:rsidRPr="00D823BE">
              <w:rPr>
                <w:b/>
                <w:bCs/>
                <w:color w:val="000000"/>
                <w:lang w:val="en-GB"/>
              </w:rPr>
              <w:t>A</w:t>
            </w:r>
          </w:p>
        </w:tc>
        <w:tc>
          <w:tcPr>
            <w:tcW w:w="658" w:type="pct"/>
          </w:tcPr>
          <w:p w:rsidR="008822B5" w:rsidRPr="00D823BE" w:rsidRDefault="008822B5" w:rsidP="007D3C40">
            <w:pPr>
              <w:autoSpaceDE w:val="0"/>
              <w:autoSpaceDN w:val="0"/>
              <w:adjustRightInd w:val="0"/>
              <w:ind w:right="142"/>
              <w:jc w:val="center"/>
              <w:textAlignment w:val="center"/>
              <w:rPr>
                <w:b/>
                <w:bCs/>
                <w:color w:val="000000"/>
                <w:lang w:val="en-GB"/>
              </w:rPr>
            </w:pPr>
            <w:r w:rsidRPr="00D823BE">
              <w:rPr>
                <w:b/>
                <w:bCs/>
                <w:color w:val="000000"/>
                <w:lang w:val="en-GB"/>
              </w:rPr>
              <w:t>48,05</w:t>
            </w:r>
          </w:p>
        </w:tc>
        <w:tc>
          <w:tcPr>
            <w:tcW w:w="685" w:type="pct"/>
          </w:tcPr>
          <w:p w:rsidR="008822B5" w:rsidRPr="00D823BE" w:rsidRDefault="008822B5" w:rsidP="007D3C40">
            <w:pPr>
              <w:autoSpaceDE w:val="0"/>
              <w:autoSpaceDN w:val="0"/>
              <w:adjustRightInd w:val="0"/>
              <w:ind w:right="142"/>
              <w:jc w:val="center"/>
              <w:textAlignment w:val="center"/>
              <w:rPr>
                <w:b/>
                <w:bCs/>
                <w:color w:val="000000"/>
                <w:lang w:val="en-GB"/>
              </w:rPr>
            </w:pPr>
            <w:r w:rsidRPr="00D823BE">
              <w:rPr>
                <w:b/>
                <w:bCs/>
                <w:color w:val="000000"/>
                <w:lang w:val="en-GB"/>
              </w:rPr>
              <w:t>45,03</w:t>
            </w:r>
          </w:p>
        </w:tc>
        <w:tc>
          <w:tcPr>
            <w:tcW w:w="647"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29,39</w:t>
            </w:r>
          </w:p>
        </w:tc>
        <w:tc>
          <w:tcPr>
            <w:tcW w:w="685"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31,52</w:t>
            </w:r>
          </w:p>
        </w:tc>
        <w:tc>
          <w:tcPr>
            <w:tcW w:w="647"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1,92</w:t>
            </w:r>
          </w:p>
        </w:tc>
        <w:tc>
          <w:tcPr>
            <w:tcW w:w="682"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2,54</w:t>
            </w:r>
          </w:p>
        </w:tc>
      </w:tr>
      <w:tr w:rsidR="008822B5" w:rsidRPr="00D823BE">
        <w:tc>
          <w:tcPr>
            <w:tcW w:w="997" w:type="pct"/>
          </w:tcPr>
          <w:p w:rsidR="008822B5" w:rsidRPr="00D823BE" w:rsidRDefault="008822B5" w:rsidP="007D3C40">
            <w:pPr>
              <w:autoSpaceDE w:val="0"/>
              <w:autoSpaceDN w:val="0"/>
              <w:adjustRightInd w:val="0"/>
              <w:ind w:right="142"/>
              <w:textAlignment w:val="center"/>
              <w:rPr>
                <w:b/>
                <w:bCs/>
                <w:color w:val="000000"/>
                <w:lang w:val="en-GB"/>
              </w:rPr>
            </w:pPr>
            <w:r w:rsidRPr="00D823BE">
              <w:rPr>
                <w:color w:val="000000"/>
                <w:lang w:val="en-GB"/>
              </w:rPr>
              <w:t xml:space="preserve">The share of drugs from the group </w:t>
            </w:r>
            <w:r w:rsidRPr="00D823BE">
              <w:rPr>
                <w:b/>
                <w:bCs/>
                <w:color w:val="000000"/>
                <w:lang w:val="en-GB"/>
              </w:rPr>
              <w:t>B</w:t>
            </w:r>
          </w:p>
        </w:tc>
        <w:tc>
          <w:tcPr>
            <w:tcW w:w="658"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6,19</w:t>
            </w:r>
          </w:p>
        </w:tc>
        <w:tc>
          <w:tcPr>
            <w:tcW w:w="685"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9,08</w:t>
            </w:r>
          </w:p>
        </w:tc>
        <w:tc>
          <w:tcPr>
            <w:tcW w:w="647"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6,50</w:t>
            </w:r>
          </w:p>
        </w:tc>
        <w:tc>
          <w:tcPr>
            <w:tcW w:w="685"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6,65</w:t>
            </w:r>
          </w:p>
        </w:tc>
        <w:tc>
          <w:tcPr>
            <w:tcW w:w="647"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2,96</w:t>
            </w:r>
          </w:p>
        </w:tc>
        <w:tc>
          <w:tcPr>
            <w:tcW w:w="682"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0,00</w:t>
            </w:r>
          </w:p>
        </w:tc>
      </w:tr>
      <w:tr w:rsidR="008822B5" w:rsidRPr="00D823BE">
        <w:tc>
          <w:tcPr>
            <w:tcW w:w="997" w:type="pct"/>
          </w:tcPr>
          <w:p w:rsidR="008822B5" w:rsidRPr="00D823BE" w:rsidRDefault="008822B5" w:rsidP="007D3C40">
            <w:pPr>
              <w:autoSpaceDE w:val="0"/>
              <w:autoSpaceDN w:val="0"/>
              <w:adjustRightInd w:val="0"/>
              <w:ind w:right="142"/>
              <w:textAlignment w:val="center"/>
              <w:rPr>
                <w:b/>
                <w:bCs/>
                <w:color w:val="000000"/>
                <w:lang w:val="en-GB"/>
              </w:rPr>
            </w:pPr>
            <w:r w:rsidRPr="00D823BE">
              <w:rPr>
                <w:color w:val="000000"/>
                <w:lang w:val="en-GB"/>
              </w:rPr>
              <w:t xml:space="preserve">The share of drugs from the group </w:t>
            </w:r>
            <w:r w:rsidRPr="00D823BE">
              <w:rPr>
                <w:b/>
                <w:bCs/>
                <w:color w:val="000000"/>
                <w:lang w:val="en-GB"/>
              </w:rPr>
              <w:t>C</w:t>
            </w:r>
          </w:p>
        </w:tc>
        <w:tc>
          <w:tcPr>
            <w:tcW w:w="658" w:type="pct"/>
          </w:tcPr>
          <w:p w:rsidR="008822B5" w:rsidRPr="00D823BE" w:rsidRDefault="008822B5" w:rsidP="007D3C40">
            <w:pPr>
              <w:autoSpaceDE w:val="0"/>
              <w:autoSpaceDN w:val="0"/>
              <w:adjustRightInd w:val="0"/>
              <w:ind w:right="142"/>
              <w:jc w:val="center"/>
              <w:textAlignment w:val="center"/>
              <w:rPr>
                <w:b/>
                <w:bCs/>
                <w:color w:val="000000"/>
                <w:lang w:val="en-GB"/>
              </w:rPr>
            </w:pPr>
            <w:r w:rsidRPr="00D823BE">
              <w:rPr>
                <w:b/>
                <w:bCs/>
                <w:color w:val="000000"/>
                <w:lang w:val="en-GB"/>
              </w:rPr>
              <w:t>1,02</w:t>
            </w:r>
          </w:p>
        </w:tc>
        <w:tc>
          <w:tcPr>
            <w:tcW w:w="685"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1,56</w:t>
            </w:r>
          </w:p>
        </w:tc>
        <w:tc>
          <w:tcPr>
            <w:tcW w:w="647"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2,75</w:t>
            </w:r>
          </w:p>
        </w:tc>
        <w:tc>
          <w:tcPr>
            <w:tcW w:w="685"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2,73</w:t>
            </w:r>
          </w:p>
        </w:tc>
        <w:tc>
          <w:tcPr>
            <w:tcW w:w="647" w:type="pct"/>
          </w:tcPr>
          <w:p w:rsidR="008822B5" w:rsidRPr="00D823BE" w:rsidRDefault="008822B5" w:rsidP="007D3C40">
            <w:pPr>
              <w:autoSpaceDE w:val="0"/>
              <w:autoSpaceDN w:val="0"/>
              <w:adjustRightInd w:val="0"/>
              <w:ind w:right="142"/>
              <w:jc w:val="center"/>
              <w:textAlignment w:val="center"/>
              <w:rPr>
                <w:b/>
                <w:bCs/>
                <w:color w:val="000000"/>
                <w:lang w:val="en-GB"/>
              </w:rPr>
            </w:pPr>
            <w:r w:rsidRPr="00D823BE">
              <w:rPr>
                <w:b/>
                <w:bCs/>
                <w:color w:val="000000"/>
                <w:lang w:val="en-GB"/>
              </w:rPr>
              <w:t>1,22</w:t>
            </w:r>
          </w:p>
        </w:tc>
        <w:tc>
          <w:tcPr>
            <w:tcW w:w="682" w:type="pct"/>
          </w:tcPr>
          <w:p w:rsidR="008822B5" w:rsidRPr="00D823BE" w:rsidRDefault="008822B5" w:rsidP="007D3C40">
            <w:pPr>
              <w:autoSpaceDE w:val="0"/>
              <w:autoSpaceDN w:val="0"/>
              <w:adjustRightInd w:val="0"/>
              <w:ind w:right="142"/>
              <w:jc w:val="center"/>
              <w:textAlignment w:val="center"/>
              <w:rPr>
                <w:color w:val="000000"/>
                <w:lang w:val="en-GB"/>
              </w:rPr>
            </w:pPr>
            <w:r w:rsidRPr="00D823BE">
              <w:rPr>
                <w:color w:val="000000"/>
                <w:lang w:val="en-GB"/>
              </w:rPr>
              <w:t>0,89</w:t>
            </w:r>
          </w:p>
        </w:tc>
      </w:tr>
    </w:tbl>
    <w:p w:rsidR="008822B5" w:rsidRPr="00D823BE" w:rsidRDefault="008822B5" w:rsidP="008A5CF1">
      <w:pPr>
        <w:autoSpaceDE w:val="0"/>
        <w:autoSpaceDN w:val="0"/>
        <w:adjustRightInd w:val="0"/>
        <w:spacing w:line="360" w:lineRule="auto"/>
        <w:ind w:right="142"/>
        <w:jc w:val="both"/>
        <w:textAlignment w:val="center"/>
        <w:rPr>
          <w:color w:val="000000"/>
          <w:sz w:val="28"/>
          <w:szCs w:val="28"/>
          <w:lang w:val="en-GB"/>
        </w:rPr>
      </w:pPr>
    </w:p>
    <w:p w:rsidR="008822B5" w:rsidRPr="00D823BE" w:rsidRDefault="008822B5" w:rsidP="00920655">
      <w:pPr>
        <w:pStyle w:val="ListParagraph"/>
        <w:spacing w:line="360" w:lineRule="auto"/>
        <w:ind w:left="502"/>
        <w:jc w:val="both"/>
        <w:rPr>
          <w:b/>
          <w:bCs/>
          <w:sz w:val="28"/>
          <w:szCs w:val="28"/>
          <w:lang w:val="en-GB"/>
        </w:rPr>
      </w:pPr>
      <w:r w:rsidRPr="00D823BE">
        <w:rPr>
          <w:b/>
          <w:bCs/>
          <w:sz w:val="28"/>
          <w:szCs w:val="28"/>
          <w:lang w:val="en-GB"/>
        </w:rPr>
        <w:t>Conclusions</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 xml:space="preserve"> The analysis of HCds of patients with ALL and AML allows to found that more than three quarters of patients (86.5% and 85.3%, respectively) than the main diagnosis had a wide range of diseases. The first position in the frequency display in the HCds of the I group of patients took coronary heart disease, and in the II group - hypertension.</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 While in specialized HCF for the treatment of I group patients doctors used 120 medicines and made 4983 prescriptions  (67 prescriptions  per patient), and patients with AML - 2722 prescriptions  (29 per patient) using 132 medicines by INN names.</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An important characteristic of pharmaceutical providing for patients is the presence of three leaders of the frequency of prescriptions   - drugs from the group L-neoplastic and immunomodulating agents (ALL - 28.0%, AML - 18.88% of total prescriptions   by groups of patients, respectively).</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Organizing of data of frequency analysis of doctor’s prescriptions  for patients with ALL and AML and relevant protocols of the MC makes it possible to assert that the overwhelming majority of doctors used drugs of pathogenetic therapy. The top-three leading drugs in both groups of patients were taken the medications of antitumor action (I group - vinkristyn → mercaptopurine → cytarabine, and II group  - idarubicin → cytarabin  → tretionin).</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Consumption of medicines by ALL patients amounted to UAH 2,251,437.93 (30,424.84 UAH / patient), and the AML - UAH 18,276.89 (30,424.84 UAH / patient). The share of AD costs was for patients with ALL 48.38% and AML - 58.44%.</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The first three positions by the amount of consumption of medicines were held the following drugs: ALL - Cyclophosphane (cyclophosphamide for INN) → Epreks (erythropoietin) → Vifend (voriconazole) → mercaptopurine; AML - cytosar (cytarabine) → Zavedos (idarubicin) → Meronem (Meronem).</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An important characteristic of the consumption of medicines, which is determined according to the ABC-analysis is the presence in the first rungs of action of anticancer drugs (I group patients - cyclophosphamide; II group - cytarabine).</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It is proved that more than half of the resources spent on pharmaceutical providing of patients accounted for drugs from the group V, which can be assessed as positive. Thus, the ratio between the consumption of drugs V, E and N was: in I group - 55: 39: 6, and for patients with AML 56: 41: 3.</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It is established that in both groups of patients most costs were spent on drugs consumption with the status of A / V, and the least - C / V (ALL) and the status of C / N. (AML). In the treatment of AML was not used any drug with the status B / N.</w:t>
      </w:r>
    </w:p>
    <w:p w:rsidR="008822B5" w:rsidRPr="00D823BE" w:rsidRDefault="008822B5" w:rsidP="00920655">
      <w:pPr>
        <w:pStyle w:val="ListParagraph"/>
        <w:numPr>
          <w:ilvl w:val="0"/>
          <w:numId w:val="1"/>
        </w:numPr>
        <w:spacing w:line="360" w:lineRule="auto"/>
        <w:jc w:val="both"/>
        <w:rPr>
          <w:sz w:val="28"/>
          <w:szCs w:val="28"/>
          <w:lang w:val="en-GB"/>
        </w:rPr>
      </w:pPr>
      <w:r w:rsidRPr="00D823BE">
        <w:rPr>
          <w:sz w:val="28"/>
          <w:szCs w:val="28"/>
          <w:lang w:val="en-GB"/>
        </w:rPr>
        <w:t>An important direction of future research is the development of theoretical and applied approaches to developing of effective models of reimbursement of cost of drugs consumption on different groups of blood cancer patients, especially in acute leukemias, which by vital indicators require timely, valuable providing with available medicines.</w:t>
      </w:r>
    </w:p>
    <w:p w:rsidR="008822B5" w:rsidRPr="00D823BE" w:rsidRDefault="008822B5" w:rsidP="00920655">
      <w:pPr>
        <w:spacing w:line="360" w:lineRule="auto"/>
        <w:ind w:left="502"/>
        <w:jc w:val="both"/>
        <w:rPr>
          <w:lang w:val="en-GB"/>
        </w:rPr>
      </w:pPr>
    </w:p>
    <w:sectPr w:rsidR="008822B5" w:rsidRPr="00D823BE" w:rsidSect="0023478B">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E77A7"/>
    <w:multiLevelType w:val="hybridMultilevel"/>
    <w:tmpl w:val="46B8943E"/>
    <w:lvl w:ilvl="0" w:tplc="0422000F">
      <w:start w:val="1"/>
      <w:numFmt w:val="decimal"/>
      <w:lvlText w:val="%1."/>
      <w:lvlJc w:val="left"/>
      <w:pPr>
        <w:ind w:left="502" w:hanging="360"/>
      </w:pPr>
      <w:rPr>
        <w:rFonts w:cs="Times New Roman"/>
      </w:rPr>
    </w:lvl>
    <w:lvl w:ilvl="1" w:tplc="04220019">
      <w:start w:val="1"/>
      <w:numFmt w:val="lowerLetter"/>
      <w:lvlText w:val="%2."/>
      <w:lvlJc w:val="left"/>
      <w:pPr>
        <w:ind w:left="1942" w:hanging="360"/>
      </w:pPr>
      <w:rPr>
        <w:rFonts w:cs="Times New Roman"/>
      </w:rPr>
    </w:lvl>
    <w:lvl w:ilvl="2" w:tplc="0422001B">
      <w:start w:val="1"/>
      <w:numFmt w:val="lowerRoman"/>
      <w:lvlText w:val="%3."/>
      <w:lvlJc w:val="right"/>
      <w:pPr>
        <w:ind w:left="2662" w:hanging="180"/>
      </w:pPr>
      <w:rPr>
        <w:rFonts w:cs="Times New Roman"/>
      </w:rPr>
    </w:lvl>
    <w:lvl w:ilvl="3" w:tplc="0422000F">
      <w:start w:val="1"/>
      <w:numFmt w:val="decimal"/>
      <w:lvlText w:val="%4."/>
      <w:lvlJc w:val="left"/>
      <w:pPr>
        <w:ind w:left="3382" w:hanging="360"/>
      </w:pPr>
      <w:rPr>
        <w:rFonts w:cs="Times New Roman"/>
      </w:rPr>
    </w:lvl>
    <w:lvl w:ilvl="4" w:tplc="04220019">
      <w:start w:val="1"/>
      <w:numFmt w:val="lowerLetter"/>
      <w:lvlText w:val="%5."/>
      <w:lvlJc w:val="left"/>
      <w:pPr>
        <w:ind w:left="4102" w:hanging="360"/>
      </w:pPr>
      <w:rPr>
        <w:rFonts w:cs="Times New Roman"/>
      </w:rPr>
    </w:lvl>
    <w:lvl w:ilvl="5" w:tplc="0422001B">
      <w:start w:val="1"/>
      <w:numFmt w:val="lowerRoman"/>
      <w:lvlText w:val="%6."/>
      <w:lvlJc w:val="right"/>
      <w:pPr>
        <w:ind w:left="4822" w:hanging="180"/>
      </w:pPr>
      <w:rPr>
        <w:rFonts w:cs="Times New Roman"/>
      </w:rPr>
    </w:lvl>
    <w:lvl w:ilvl="6" w:tplc="0422000F">
      <w:start w:val="1"/>
      <w:numFmt w:val="decimal"/>
      <w:lvlText w:val="%7."/>
      <w:lvlJc w:val="left"/>
      <w:pPr>
        <w:ind w:left="5542" w:hanging="360"/>
      </w:pPr>
      <w:rPr>
        <w:rFonts w:cs="Times New Roman"/>
      </w:rPr>
    </w:lvl>
    <w:lvl w:ilvl="7" w:tplc="04220019">
      <w:start w:val="1"/>
      <w:numFmt w:val="lowerLetter"/>
      <w:lvlText w:val="%8."/>
      <w:lvlJc w:val="left"/>
      <w:pPr>
        <w:ind w:left="6262" w:hanging="360"/>
      </w:pPr>
      <w:rPr>
        <w:rFonts w:cs="Times New Roman"/>
      </w:rPr>
    </w:lvl>
    <w:lvl w:ilvl="8" w:tplc="0422001B">
      <w:start w:val="1"/>
      <w:numFmt w:val="lowerRoman"/>
      <w:lvlText w:val="%9."/>
      <w:lvlJc w:val="right"/>
      <w:pPr>
        <w:ind w:left="698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CF1"/>
    <w:rsid w:val="00010D6E"/>
    <w:rsid w:val="00042228"/>
    <w:rsid w:val="00042651"/>
    <w:rsid w:val="000A7F0C"/>
    <w:rsid w:val="000E507D"/>
    <w:rsid w:val="00126A97"/>
    <w:rsid w:val="0013504A"/>
    <w:rsid w:val="00183177"/>
    <w:rsid w:val="001A0A25"/>
    <w:rsid w:val="00205295"/>
    <w:rsid w:val="0023478B"/>
    <w:rsid w:val="002B61C1"/>
    <w:rsid w:val="003233A4"/>
    <w:rsid w:val="003A465B"/>
    <w:rsid w:val="003B23D3"/>
    <w:rsid w:val="003E16FC"/>
    <w:rsid w:val="00425DCC"/>
    <w:rsid w:val="004C727E"/>
    <w:rsid w:val="004D23E0"/>
    <w:rsid w:val="00500565"/>
    <w:rsid w:val="0050155A"/>
    <w:rsid w:val="00516395"/>
    <w:rsid w:val="00523F79"/>
    <w:rsid w:val="006036D3"/>
    <w:rsid w:val="0060607C"/>
    <w:rsid w:val="00741397"/>
    <w:rsid w:val="007A52C5"/>
    <w:rsid w:val="007D3C40"/>
    <w:rsid w:val="00801520"/>
    <w:rsid w:val="00820D95"/>
    <w:rsid w:val="00836399"/>
    <w:rsid w:val="008822B5"/>
    <w:rsid w:val="00892AE6"/>
    <w:rsid w:val="008A5CF1"/>
    <w:rsid w:val="008D2D24"/>
    <w:rsid w:val="008D7C2E"/>
    <w:rsid w:val="008E7133"/>
    <w:rsid w:val="00920655"/>
    <w:rsid w:val="0095704A"/>
    <w:rsid w:val="009B23C0"/>
    <w:rsid w:val="009D49C1"/>
    <w:rsid w:val="00A40642"/>
    <w:rsid w:val="00A711EE"/>
    <w:rsid w:val="00B156F9"/>
    <w:rsid w:val="00B3111E"/>
    <w:rsid w:val="00B409FF"/>
    <w:rsid w:val="00B777B1"/>
    <w:rsid w:val="00B93884"/>
    <w:rsid w:val="00B97612"/>
    <w:rsid w:val="00C21BCB"/>
    <w:rsid w:val="00C366F5"/>
    <w:rsid w:val="00C477F6"/>
    <w:rsid w:val="00CA2980"/>
    <w:rsid w:val="00D06382"/>
    <w:rsid w:val="00D118B5"/>
    <w:rsid w:val="00D26413"/>
    <w:rsid w:val="00D34CEE"/>
    <w:rsid w:val="00D56119"/>
    <w:rsid w:val="00D56328"/>
    <w:rsid w:val="00D823BE"/>
    <w:rsid w:val="00DD1CF5"/>
    <w:rsid w:val="00DD2319"/>
    <w:rsid w:val="00DF0F29"/>
    <w:rsid w:val="00E102A9"/>
    <w:rsid w:val="00F06D5B"/>
    <w:rsid w:val="00F144B7"/>
    <w:rsid w:val="00F14F31"/>
    <w:rsid w:val="00F31373"/>
    <w:rsid w:val="00F45B72"/>
    <w:rsid w:val="00F5059A"/>
    <w:rsid w:val="00F6048A"/>
    <w:rsid w:val="00FB53CB"/>
    <w:rsid w:val="00FC0D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A5CF1"/>
    <w:rPr>
      <w:rFonts w:eastAsia="Times New Roman"/>
      <w:sz w:val="24"/>
      <w:szCs w:val="24"/>
      <w:lang w:val="uk-UA"/>
    </w:rPr>
  </w:style>
  <w:style w:type="paragraph" w:styleId="Heading1">
    <w:name w:val="heading 1"/>
    <w:basedOn w:val="Normal"/>
    <w:next w:val="Normal"/>
    <w:link w:val="Heading1Char"/>
    <w:uiPriority w:val="99"/>
    <w:qFormat/>
    <w:rsid w:val="00205295"/>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hAnsi="Cambria" w:cs="Cambria"/>
      <w:b/>
      <w:bCs/>
      <w:color w:val="622423"/>
      <w:sz w:val="22"/>
      <w:szCs w:val="22"/>
    </w:rPr>
  </w:style>
  <w:style w:type="paragraph" w:styleId="Heading2">
    <w:name w:val="heading 2"/>
    <w:basedOn w:val="Normal"/>
    <w:next w:val="Normal"/>
    <w:link w:val="Heading2Char"/>
    <w:uiPriority w:val="99"/>
    <w:qFormat/>
    <w:rsid w:val="00205295"/>
    <w:pPr>
      <w:pBdr>
        <w:top w:val="single" w:sz="4" w:space="0" w:color="C0504D"/>
        <w:left w:val="single" w:sz="48" w:space="2" w:color="C0504D"/>
        <w:bottom w:val="single" w:sz="4" w:space="0" w:color="C0504D"/>
        <w:right w:val="single" w:sz="4" w:space="4" w:color="C0504D"/>
      </w:pBdr>
      <w:spacing w:before="200" w:after="100" w:line="269" w:lineRule="auto"/>
      <w:ind w:left="144"/>
      <w:outlineLvl w:val="1"/>
    </w:pPr>
    <w:rPr>
      <w:rFonts w:ascii="Cambria" w:hAnsi="Cambria" w:cs="Cambria"/>
      <w:b/>
      <w:bCs/>
      <w:color w:val="943634"/>
      <w:sz w:val="22"/>
      <w:szCs w:val="22"/>
    </w:rPr>
  </w:style>
  <w:style w:type="paragraph" w:styleId="Heading3">
    <w:name w:val="heading 3"/>
    <w:basedOn w:val="Normal"/>
    <w:next w:val="Normal"/>
    <w:link w:val="Heading3Char"/>
    <w:uiPriority w:val="99"/>
    <w:qFormat/>
    <w:rsid w:val="00205295"/>
    <w:pPr>
      <w:pBdr>
        <w:left w:val="single" w:sz="48" w:space="2" w:color="C0504D"/>
        <w:bottom w:val="single" w:sz="4" w:space="0" w:color="C0504D"/>
      </w:pBdr>
      <w:spacing w:before="200" w:after="100"/>
      <w:ind w:left="144"/>
      <w:outlineLvl w:val="2"/>
    </w:pPr>
    <w:rPr>
      <w:rFonts w:ascii="Cambria" w:hAnsi="Cambria" w:cs="Cambria"/>
      <w:b/>
      <w:bCs/>
      <w:color w:val="943634"/>
      <w:sz w:val="22"/>
      <w:szCs w:val="22"/>
    </w:rPr>
  </w:style>
  <w:style w:type="paragraph" w:styleId="Heading4">
    <w:name w:val="heading 4"/>
    <w:basedOn w:val="Normal"/>
    <w:next w:val="Normal"/>
    <w:link w:val="Heading4Char"/>
    <w:uiPriority w:val="99"/>
    <w:qFormat/>
    <w:rsid w:val="00205295"/>
    <w:pPr>
      <w:pBdr>
        <w:left w:val="single" w:sz="4" w:space="2" w:color="C0504D"/>
        <w:bottom w:val="single" w:sz="4" w:space="2" w:color="C0504D"/>
      </w:pBdr>
      <w:spacing w:before="200" w:after="100"/>
      <w:ind w:left="86"/>
      <w:outlineLvl w:val="3"/>
    </w:pPr>
    <w:rPr>
      <w:rFonts w:ascii="Cambria" w:hAnsi="Cambria" w:cs="Cambria"/>
      <w:b/>
      <w:bCs/>
      <w:color w:val="943634"/>
      <w:sz w:val="22"/>
      <w:szCs w:val="22"/>
    </w:rPr>
  </w:style>
  <w:style w:type="paragraph" w:styleId="Heading5">
    <w:name w:val="heading 5"/>
    <w:basedOn w:val="Normal"/>
    <w:next w:val="Normal"/>
    <w:link w:val="Heading5Char"/>
    <w:uiPriority w:val="99"/>
    <w:qFormat/>
    <w:rsid w:val="00205295"/>
    <w:pPr>
      <w:pBdr>
        <w:left w:val="dotted" w:sz="4" w:space="2" w:color="C0504D"/>
        <w:bottom w:val="dotted" w:sz="4" w:space="2" w:color="C0504D"/>
      </w:pBdr>
      <w:spacing w:before="200" w:after="100"/>
      <w:ind w:left="86"/>
      <w:outlineLvl w:val="4"/>
    </w:pPr>
    <w:rPr>
      <w:rFonts w:ascii="Cambria" w:hAnsi="Cambria" w:cs="Cambria"/>
      <w:b/>
      <w:bCs/>
      <w:color w:val="943634"/>
      <w:sz w:val="22"/>
      <w:szCs w:val="22"/>
    </w:rPr>
  </w:style>
  <w:style w:type="paragraph" w:styleId="Heading6">
    <w:name w:val="heading 6"/>
    <w:basedOn w:val="Normal"/>
    <w:next w:val="Normal"/>
    <w:link w:val="Heading6Char"/>
    <w:uiPriority w:val="99"/>
    <w:qFormat/>
    <w:rsid w:val="00205295"/>
    <w:pPr>
      <w:pBdr>
        <w:bottom w:val="single" w:sz="4" w:space="2" w:color="E5B8B7"/>
      </w:pBdr>
      <w:spacing w:before="200" w:after="100"/>
      <w:outlineLvl w:val="5"/>
    </w:pPr>
    <w:rPr>
      <w:rFonts w:ascii="Cambria" w:hAnsi="Cambria" w:cs="Cambria"/>
      <w:color w:val="943634"/>
      <w:sz w:val="22"/>
      <w:szCs w:val="22"/>
    </w:rPr>
  </w:style>
  <w:style w:type="paragraph" w:styleId="Heading7">
    <w:name w:val="heading 7"/>
    <w:basedOn w:val="Normal"/>
    <w:next w:val="Normal"/>
    <w:link w:val="Heading7Char"/>
    <w:uiPriority w:val="99"/>
    <w:qFormat/>
    <w:rsid w:val="00205295"/>
    <w:pPr>
      <w:pBdr>
        <w:bottom w:val="dotted" w:sz="4" w:space="2" w:color="D99594"/>
      </w:pBdr>
      <w:spacing w:before="200" w:after="100"/>
      <w:outlineLvl w:val="6"/>
    </w:pPr>
    <w:rPr>
      <w:rFonts w:ascii="Cambria" w:hAnsi="Cambria" w:cs="Cambria"/>
      <w:color w:val="943634"/>
      <w:sz w:val="22"/>
      <w:szCs w:val="22"/>
    </w:rPr>
  </w:style>
  <w:style w:type="paragraph" w:styleId="Heading8">
    <w:name w:val="heading 8"/>
    <w:basedOn w:val="Normal"/>
    <w:next w:val="Normal"/>
    <w:link w:val="Heading8Char"/>
    <w:uiPriority w:val="99"/>
    <w:qFormat/>
    <w:rsid w:val="00205295"/>
    <w:pPr>
      <w:spacing w:before="200" w:after="100"/>
      <w:outlineLvl w:val="7"/>
    </w:pPr>
    <w:rPr>
      <w:rFonts w:ascii="Cambria" w:hAnsi="Cambria" w:cs="Cambria"/>
      <w:color w:val="C0504D"/>
      <w:sz w:val="22"/>
      <w:szCs w:val="22"/>
    </w:rPr>
  </w:style>
  <w:style w:type="paragraph" w:styleId="Heading9">
    <w:name w:val="heading 9"/>
    <w:basedOn w:val="Normal"/>
    <w:next w:val="Normal"/>
    <w:link w:val="Heading9Char"/>
    <w:uiPriority w:val="99"/>
    <w:qFormat/>
    <w:rsid w:val="00205295"/>
    <w:pPr>
      <w:spacing w:before="200" w:after="100"/>
      <w:outlineLvl w:val="8"/>
    </w:pPr>
    <w:rPr>
      <w:rFonts w:ascii="Cambria" w:hAnsi="Cambria" w:cs="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5295"/>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semiHidden/>
    <w:locked/>
    <w:rsid w:val="00205295"/>
    <w:rPr>
      <w:rFonts w:ascii="Cambria" w:hAnsi="Cambria" w:cs="Cambria"/>
      <w:b/>
      <w:bCs/>
      <w:i/>
      <w:iCs/>
      <w:color w:val="943634"/>
    </w:rPr>
  </w:style>
  <w:style w:type="character" w:customStyle="1" w:styleId="Heading3Char">
    <w:name w:val="Heading 3 Char"/>
    <w:basedOn w:val="DefaultParagraphFont"/>
    <w:link w:val="Heading3"/>
    <w:uiPriority w:val="99"/>
    <w:semiHidden/>
    <w:locked/>
    <w:rsid w:val="00205295"/>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205295"/>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205295"/>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205295"/>
    <w:rPr>
      <w:rFonts w:ascii="Cambria" w:hAnsi="Cambria" w:cs="Cambria"/>
      <w:i/>
      <w:iCs/>
      <w:color w:val="943634"/>
    </w:rPr>
  </w:style>
  <w:style w:type="character" w:customStyle="1" w:styleId="Heading7Char">
    <w:name w:val="Heading 7 Char"/>
    <w:basedOn w:val="DefaultParagraphFont"/>
    <w:link w:val="Heading7"/>
    <w:uiPriority w:val="99"/>
    <w:semiHidden/>
    <w:locked/>
    <w:rsid w:val="00205295"/>
    <w:rPr>
      <w:rFonts w:ascii="Cambria" w:hAnsi="Cambria" w:cs="Cambria"/>
      <w:i/>
      <w:iCs/>
      <w:color w:val="943634"/>
    </w:rPr>
  </w:style>
  <w:style w:type="character" w:customStyle="1" w:styleId="Heading8Char">
    <w:name w:val="Heading 8 Char"/>
    <w:basedOn w:val="DefaultParagraphFont"/>
    <w:link w:val="Heading8"/>
    <w:uiPriority w:val="99"/>
    <w:semiHidden/>
    <w:locked/>
    <w:rsid w:val="00205295"/>
    <w:rPr>
      <w:rFonts w:ascii="Cambria" w:hAnsi="Cambria" w:cs="Cambria"/>
      <w:i/>
      <w:iCs/>
      <w:color w:val="C0504D"/>
    </w:rPr>
  </w:style>
  <w:style w:type="character" w:customStyle="1" w:styleId="Heading9Char">
    <w:name w:val="Heading 9 Char"/>
    <w:basedOn w:val="DefaultParagraphFont"/>
    <w:link w:val="Heading9"/>
    <w:uiPriority w:val="99"/>
    <w:semiHidden/>
    <w:locked/>
    <w:rsid w:val="00205295"/>
    <w:rPr>
      <w:rFonts w:ascii="Cambria" w:hAnsi="Cambria" w:cs="Cambria"/>
      <w:i/>
      <w:iCs/>
      <w:color w:val="C0504D"/>
      <w:sz w:val="20"/>
      <w:szCs w:val="20"/>
    </w:rPr>
  </w:style>
  <w:style w:type="paragraph" w:styleId="Caption">
    <w:name w:val="caption"/>
    <w:basedOn w:val="Normal"/>
    <w:next w:val="Normal"/>
    <w:uiPriority w:val="99"/>
    <w:qFormat/>
    <w:rsid w:val="00205295"/>
    <w:rPr>
      <w:b/>
      <w:bCs/>
      <w:color w:val="943634"/>
      <w:sz w:val="18"/>
      <w:szCs w:val="18"/>
    </w:rPr>
  </w:style>
  <w:style w:type="paragraph" w:styleId="Title">
    <w:name w:val="Title"/>
    <w:basedOn w:val="Normal"/>
    <w:next w:val="Normal"/>
    <w:link w:val="TitleChar"/>
    <w:uiPriority w:val="99"/>
    <w:qFormat/>
    <w:rsid w:val="00205295"/>
    <w:pPr>
      <w:pBdr>
        <w:top w:val="single" w:sz="48" w:space="0" w:color="C0504D"/>
        <w:bottom w:val="single" w:sz="48" w:space="0" w:color="C0504D"/>
      </w:pBdr>
      <w:shd w:val="clear" w:color="auto" w:fill="C0504D"/>
      <w:jc w:val="center"/>
    </w:pPr>
    <w:rPr>
      <w:rFonts w:ascii="Cambria" w:hAnsi="Cambria" w:cs="Cambria"/>
      <w:color w:val="FFFFFF"/>
      <w:spacing w:val="10"/>
      <w:sz w:val="48"/>
      <w:szCs w:val="48"/>
    </w:rPr>
  </w:style>
  <w:style w:type="character" w:customStyle="1" w:styleId="TitleChar">
    <w:name w:val="Title Char"/>
    <w:basedOn w:val="DefaultParagraphFont"/>
    <w:link w:val="Title"/>
    <w:uiPriority w:val="99"/>
    <w:locked/>
    <w:rsid w:val="00205295"/>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205295"/>
    <w:pPr>
      <w:pBdr>
        <w:bottom w:val="dotted" w:sz="8" w:space="10" w:color="C0504D"/>
      </w:pBdr>
      <w:spacing w:before="200" w:after="900"/>
      <w:jc w:val="center"/>
    </w:pPr>
    <w:rPr>
      <w:rFonts w:ascii="Cambria" w:hAnsi="Cambria" w:cs="Cambria"/>
      <w:color w:val="622423"/>
    </w:rPr>
  </w:style>
  <w:style w:type="character" w:customStyle="1" w:styleId="SubtitleChar">
    <w:name w:val="Subtitle Char"/>
    <w:basedOn w:val="DefaultParagraphFont"/>
    <w:link w:val="Subtitle"/>
    <w:uiPriority w:val="99"/>
    <w:locked/>
    <w:rsid w:val="00205295"/>
    <w:rPr>
      <w:rFonts w:ascii="Cambria" w:hAnsi="Cambria" w:cs="Cambria"/>
      <w:i/>
      <w:iCs/>
      <w:color w:val="622423"/>
      <w:sz w:val="24"/>
      <w:szCs w:val="24"/>
    </w:rPr>
  </w:style>
  <w:style w:type="character" w:styleId="Strong">
    <w:name w:val="Strong"/>
    <w:basedOn w:val="DefaultParagraphFont"/>
    <w:uiPriority w:val="99"/>
    <w:qFormat/>
    <w:rsid w:val="00205295"/>
    <w:rPr>
      <w:rFonts w:cs="Times New Roman"/>
      <w:b/>
      <w:bCs/>
      <w:spacing w:val="0"/>
    </w:rPr>
  </w:style>
  <w:style w:type="character" w:styleId="Emphasis">
    <w:name w:val="Emphasis"/>
    <w:basedOn w:val="DefaultParagraphFont"/>
    <w:uiPriority w:val="99"/>
    <w:qFormat/>
    <w:rsid w:val="00205295"/>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205295"/>
  </w:style>
  <w:style w:type="paragraph" w:styleId="ListParagraph">
    <w:name w:val="List Paragraph"/>
    <w:basedOn w:val="Normal"/>
    <w:uiPriority w:val="99"/>
    <w:qFormat/>
    <w:rsid w:val="00205295"/>
    <w:pPr>
      <w:ind w:left="720"/>
    </w:pPr>
  </w:style>
  <w:style w:type="paragraph" w:styleId="Quote">
    <w:name w:val="Quote"/>
    <w:basedOn w:val="Normal"/>
    <w:next w:val="Normal"/>
    <w:link w:val="QuoteChar"/>
    <w:uiPriority w:val="99"/>
    <w:qFormat/>
    <w:rsid w:val="00205295"/>
    <w:rPr>
      <w:color w:val="943634"/>
    </w:rPr>
  </w:style>
  <w:style w:type="character" w:customStyle="1" w:styleId="QuoteChar">
    <w:name w:val="Quote Char"/>
    <w:basedOn w:val="DefaultParagraphFont"/>
    <w:link w:val="Quote"/>
    <w:uiPriority w:val="99"/>
    <w:locked/>
    <w:rsid w:val="00205295"/>
    <w:rPr>
      <w:rFonts w:cs="Times New Roman"/>
      <w:color w:val="943634"/>
      <w:sz w:val="20"/>
      <w:szCs w:val="20"/>
    </w:rPr>
  </w:style>
  <w:style w:type="paragraph" w:styleId="IntenseQuote">
    <w:name w:val="Intense Quote"/>
    <w:basedOn w:val="Normal"/>
    <w:next w:val="Normal"/>
    <w:link w:val="IntenseQuoteChar"/>
    <w:uiPriority w:val="99"/>
    <w:qFormat/>
    <w:rsid w:val="00205295"/>
    <w:pPr>
      <w:pBdr>
        <w:top w:val="dotted" w:sz="8" w:space="10" w:color="C0504D"/>
        <w:bottom w:val="dotted" w:sz="8" w:space="10" w:color="C0504D"/>
      </w:pBdr>
      <w:spacing w:line="300" w:lineRule="auto"/>
      <w:ind w:left="2160" w:right="2160"/>
      <w:jc w:val="center"/>
    </w:pPr>
    <w:rPr>
      <w:rFonts w:ascii="Cambria" w:hAnsi="Cambria" w:cs="Cambria"/>
      <w:b/>
      <w:bCs/>
      <w:color w:val="C0504D"/>
    </w:rPr>
  </w:style>
  <w:style w:type="character" w:customStyle="1" w:styleId="IntenseQuoteChar">
    <w:name w:val="Intense Quote Char"/>
    <w:basedOn w:val="DefaultParagraphFont"/>
    <w:link w:val="IntenseQuote"/>
    <w:uiPriority w:val="99"/>
    <w:locked/>
    <w:rsid w:val="00205295"/>
    <w:rPr>
      <w:rFonts w:ascii="Cambria" w:hAnsi="Cambria" w:cs="Cambria"/>
      <w:b/>
      <w:bCs/>
      <w:i/>
      <w:iCs/>
      <w:color w:val="C0504D"/>
      <w:sz w:val="20"/>
      <w:szCs w:val="20"/>
    </w:rPr>
  </w:style>
  <w:style w:type="character" w:styleId="SubtleEmphasis">
    <w:name w:val="Subtle Emphasis"/>
    <w:basedOn w:val="DefaultParagraphFont"/>
    <w:uiPriority w:val="99"/>
    <w:qFormat/>
    <w:rsid w:val="00205295"/>
    <w:rPr>
      <w:rFonts w:ascii="Cambria" w:hAnsi="Cambria" w:cs="Cambria"/>
      <w:i/>
      <w:iCs/>
      <w:color w:val="C0504D"/>
    </w:rPr>
  </w:style>
  <w:style w:type="character" w:styleId="IntenseEmphasis">
    <w:name w:val="Intense Emphasis"/>
    <w:basedOn w:val="DefaultParagraphFont"/>
    <w:uiPriority w:val="99"/>
    <w:qFormat/>
    <w:rsid w:val="00205295"/>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205295"/>
    <w:rPr>
      <w:rFonts w:cs="Times New Roman"/>
      <w:i/>
      <w:iCs/>
      <w:smallCaps/>
      <w:color w:val="C0504D"/>
      <w:u w:color="C0504D"/>
    </w:rPr>
  </w:style>
  <w:style w:type="character" w:styleId="IntenseReference">
    <w:name w:val="Intense Reference"/>
    <w:basedOn w:val="DefaultParagraphFont"/>
    <w:uiPriority w:val="99"/>
    <w:qFormat/>
    <w:rsid w:val="00205295"/>
    <w:rPr>
      <w:rFonts w:cs="Times New Roman"/>
      <w:b/>
      <w:bCs/>
      <w:i/>
      <w:iCs/>
      <w:smallCaps/>
      <w:color w:val="C0504D"/>
      <w:u w:color="C0504D"/>
    </w:rPr>
  </w:style>
  <w:style w:type="character" w:styleId="BookTitle">
    <w:name w:val="Book Title"/>
    <w:basedOn w:val="DefaultParagraphFont"/>
    <w:uiPriority w:val="99"/>
    <w:qFormat/>
    <w:rsid w:val="00205295"/>
    <w:rPr>
      <w:rFonts w:ascii="Cambria" w:hAnsi="Cambria" w:cs="Cambria"/>
      <w:b/>
      <w:bCs/>
      <w:i/>
      <w:iCs/>
      <w:smallCaps/>
      <w:color w:val="943634"/>
      <w:u w:val="single"/>
    </w:rPr>
  </w:style>
  <w:style w:type="paragraph" w:styleId="TOCHeading">
    <w:name w:val="TOC Heading"/>
    <w:basedOn w:val="Heading1"/>
    <w:next w:val="Normal"/>
    <w:uiPriority w:val="99"/>
    <w:qFormat/>
    <w:rsid w:val="00205295"/>
    <w:pPr>
      <w:outlineLvl w:val="9"/>
    </w:pPr>
  </w:style>
  <w:style w:type="paragraph" w:customStyle="1" w:styleId="tecst">
    <w:name w:val="tecst"/>
    <w:basedOn w:val="Normal"/>
    <w:uiPriority w:val="99"/>
    <w:rsid w:val="008A5CF1"/>
    <w:pPr>
      <w:autoSpaceDE w:val="0"/>
      <w:autoSpaceDN w:val="0"/>
      <w:adjustRightInd w:val="0"/>
      <w:spacing w:line="288" w:lineRule="auto"/>
      <w:ind w:firstLine="170"/>
      <w:jc w:val="both"/>
      <w:textAlignment w:val="center"/>
    </w:pPr>
    <w:rPr>
      <w:rFonts w:eastAsia="Calibri"/>
      <w:color w:val="000000"/>
      <w:sz w:val="20"/>
      <w:szCs w:val="20"/>
      <w:lang w:val="ru-RU" w:eastAsia="en-US"/>
    </w:rPr>
  </w:style>
  <w:style w:type="paragraph" w:styleId="NormalWeb">
    <w:name w:val="Normal (Web)"/>
    <w:basedOn w:val="Normal"/>
    <w:uiPriority w:val="99"/>
    <w:rsid w:val="008A5CF1"/>
    <w:pPr>
      <w:spacing w:before="100" w:beforeAutospacing="1" w:after="100" w:afterAutospacing="1"/>
    </w:pPr>
    <w:rPr>
      <w:lang w:eastAsia="uk-UA"/>
    </w:rPr>
  </w:style>
  <w:style w:type="character" w:customStyle="1" w:styleId="hps">
    <w:name w:val="hps"/>
    <w:uiPriority w:val="99"/>
    <w:rsid w:val="008A5CF1"/>
  </w:style>
  <w:style w:type="paragraph" w:customStyle="1" w:styleId="1">
    <w:name w:val="Абзац списка1"/>
    <w:basedOn w:val="Normal"/>
    <w:uiPriority w:val="99"/>
    <w:rsid w:val="008A5CF1"/>
    <w:pPr>
      <w:ind w:left="720"/>
    </w:pPr>
    <w:rPr>
      <w:rFonts w:eastAsia="Calibri"/>
      <w:lang w:val="ru-RU"/>
    </w:rPr>
  </w:style>
  <w:style w:type="character" w:customStyle="1" w:styleId="atc">
    <w:name w:val="atc"/>
    <w:uiPriority w:val="99"/>
    <w:rsid w:val="008A5CF1"/>
  </w:style>
  <w:style w:type="paragraph" w:styleId="BodyTextIndent3">
    <w:name w:val="Body Text Indent 3"/>
    <w:basedOn w:val="Normal"/>
    <w:link w:val="BodyTextIndent3Char1"/>
    <w:uiPriority w:val="99"/>
    <w:locked/>
    <w:rsid w:val="00892AE6"/>
    <w:pPr>
      <w:spacing w:after="120"/>
      <w:ind w:left="283"/>
    </w:pPr>
    <w:rPr>
      <w:rFonts w:eastAsia="Calibri"/>
      <w:sz w:val="16"/>
      <w:szCs w:val="16"/>
      <w:lang w:val="ru-RU"/>
    </w:rPr>
  </w:style>
  <w:style w:type="character" w:customStyle="1" w:styleId="BodyTextIndent3Char">
    <w:name w:val="Body Text Indent 3 Char"/>
    <w:basedOn w:val="DefaultParagraphFont"/>
    <w:link w:val="BodyTextIndent3"/>
    <w:uiPriority w:val="99"/>
    <w:semiHidden/>
    <w:rsid w:val="005F2BF5"/>
    <w:rPr>
      <w:rFonts w:eastAsia="Times New Roman"/>
      <w:sz w:val="16"/>
      <w:szCs w:val="16"/>
      <w:lang w:val="uk-UA"/>
    </w:rPr>
  </w:style>
  <w:style w:type="character" w:customStyle="1" w:styleId="BodyTextIndent3Char1">
    <w:name w:val="Body Text Indent 3 Char1"/>
    <w:link w:val="BodyTextIndent3"/>
    <w:uiPriority w:val="99"/>
    <w:locked/>
    <w:rsid w:val="00892AE6"/>
    <w:rPr>
      <w:sz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377</TotalTime>
  <Pages>12</Pages>
  <Words>3511</Words>
  <Characters>20016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Your User Name</cp:lastModifiedBy>
  <cp:revision>22</cp:revision>
  <dcterms:created xsi:type="dcterms:W3CDTF">2015-09-29T18:45:00Z</dcterms:created>
  <dcterms:modified xsi:type="dcterms:W3CDTF">2015-12-10T10:35:00Z</dcterms:modified>
</cp:coreProperties>
</file>