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37" w:rsidRPr="00E27E35" w:rsidRDefault="00396A37" w:rsidP="0078340A">
      <w:pPr>
        <w:jc w:val="center"/>
        <w:rPr>
          <w:b/>
          <w:color w:val="FF0000"/>
          <w:sz w:val="36"/>
          <w:szCs w:val="36"/>
          <w:lang w:val="en-US"/>
        </w:rPr>
      </w:pPr>
      <w:r w:rsidRPr="00E27E35">
        <w:rPr>
          <w:b/>
          <w:color w:val="FF0000"/>
          <w:sz w:val="36"/>
          <w:szCs w:val="36"/>
          <w:lang w:val="en-US"/>
        </w:rPr>
        <w:t>The art</w:t>
      </w:r>
      <w:r>
        <w:rPr>
          <w:b/>
          <w:color w:val="FF0000"/>
          <w:sz w:val="36"/>
          <w:szCs w:val="36"/>
          <w:lang w:val="en-US"/>
        </w:rPr>
        <w:t xml:space="preserve">icle is published in Ukrainian </w:t>
      </w:r>
      <w:r w:rsidRPr="00E27E35">
        <w:rPr>
          <w:b/>
          <w:color w:val="FF0000"/>
          <w:sz w:val="36"/>
          <w:szCs w:val="36"/>
          <w:lang w:val="en-US"/>
        </w:rPr>
        <w:t xml:space="preserve">in the journal. </w:t>
      </w:r>
      <w:r>
        <w:rPr>
          <w:b/>
          <w:color w:val="FF0000"/>
          <w:sz w:val="36"/>
          <w:szCs w:val="36"/>
          <w:lang w:val="en-US"/>
        </w:rPr>
        <w:br/>
      </w:r>
      <w:r w:rsidRPr="00E27E35">
        <w:rPr>
          <w:b/>
          <w:color w:val="FF0000"/>
          <w:sz w:val="36"/>
          <w:szCs w:val="36"/>
          <w:lang w:val="en-US"/>
        </w:rPr>
        <w:t>The English text is given in the author's version.</w:t>
      </w:r>
    </w:p>
    <w:p w:rsidR="00396A37" w:rsidRDefault="00396A37" w:rsidP="00CC7980">
      <w:pPr>
        <w:spacing w:after="0" w:line="360" w:lineRule="auto"/>
        <w:rPr>
          <w:rFonts w:ascii="Times New Roman" w:hAnsi="Times New Roman"/>
          <w:sz w:val="28"/>
          <w:szCs w:val="28"/>
          <w:lang w:val="en-US"/>
        </w:rPr>
      </w:pPr>
    </w:p>
    <w:p w:rsidR="00396A37" w:rsidRPr="00CC7980" w:rsidRDefault="00396A37" w:rsidP="00CC7980">
      <w:pPr>
        <w:spacing w:after="0" w:line="360" w:lineRule="auto"/>
        <w:rPr>
          <w:rFonts w:ascii="Times New Roman" w:hAnsi="Times New Roman"/>
          <w:sz w:val="28"/>
          <w:szCs w:val="28"/>
          <w:lang w:val="en-US"/>
        </w:rPr>
      </w:pPr>
      <w:r w:rsidRPr="00CC7980">
        <w:rPr>
          <w:rFonts w:ascii="Times New Roman" w:hAnsi="Times New Roman"/>
          <w:sz w:val="28"/>
          <w:szCs w:val="28"/>
          <w:lang w:val="en-US"/>
        </w:rPr>
        <w:t>UDC</w:t>
      </w:r>
      <w:r>
        <w:rPr>
          <w:rFonts w:ascii="Times New Roman" w:hAnsi="Times New Roman"/>
          <w:sz w:val="28"/>
          <w:szCs w:val="28"/>
          <w:lang w:val="en-US"/>
        </w:rPr>
        <w:t xml:space="preserve"> </w:t>
      </w:r>
      <w:r w:rsidRPr="00E62FC1">
        <w:rPr>
          <w:rFonts w:ascii="Times New Roman" w:hAnsi="Times New Roman"/>
          <w:sz w:val="28"/>
          <w:szCs w:val="28"/>
          <w:lang w:val="en-US"/>
        </w:rPr>
        <w:t>615.035.1:615.252</w:t>
      </w:r>
    </w:p>
    <w:p w:rsidR="00396A37" w:rsidRDefault="00396A37" w:rsidP="006214EE">
      <w:pPr>
        <w:spacing w:after="0" w:line="360" w:lineRule="auto"/>
        <w:jc w:val="center"/>
        <w:rPr>
          <w:rFonts w:ascii="Times New Roman" w:hAnsi="Times New Roman"/>
          <w:b/>
          <w:sz w:val="28"/>
          <w:szCs w:val="28"/>
          <w:lang w:val="en-US"/>
        </w:rPr>
      </w:pPr>
      <w:r w:rsidRPr="005C30CC">
        <w:rPr>
          <w:rFonts w:ascii="Times New Roman" w:hAnsi="Times New Roman"/>
          <w:b/>
          <w:sz w:val="28"/>
          <w:szCs w:val="28"/>
          <w:lang w:val="en-US"/>
        </w:rPr>
        <w:t>EXPERT ASSESSMENT OF DRUGS APPOINTMENT FOR PHARMACOTHERAPY OF THYROID DISEASE</w:t>
      </w:r>
    </w:p>
    <w:p w:rsidR="00396A37" w:rsidRPr="0094545A" w:rsidRDefault="00396A37" w:rsidP="006214EE">
      <w:pPr>
        <w:spacing w:after="0" w:line="360" w:lineRule="auto"/>
        <w:jc w:val="center"/>
        <w:rPr>
          <w:rFonts w:ascii="Times New Roman" w:hAnsi="Times New Roman"/>
          <w:b/>
          <w:i/>
          <w:sz w:val="28"/>
          <w:szCs w:val="28"/>
          <w:lang w:val="en-US"/>
        </w:rPr>
      </w:pPr>
      <w:r w:rsidRPr="0094545A">
        <w:rPr>
          <w:rFonts w:ascii="Times New Roman" w:hAnsi="Times New Roman"/>
          <w:b/>
          <w:i/>
          <w:sz w:val="28"/>
          <w:szCs w:val="28"/>
          <w:lang w:val="en-US"/>
        </w:rPr>
        <w:t>I. M. Klishch, Yu. S. Zabihaylo</w:t>
      </w:r>
    </w:p>
    <w:p w:rsidR="00396A37" w:rsidRPr="0084356A" w:rsidRDefault="00396A37" w:rsidP="006214EE">
      <w:pPr>
        <w:spacing w:after="0" w:line="360" w:lineRule="auto"/>
        <w:jc w:val="center"/>
        <w:rPr>
          <w:rFonts w:ascii="Times New Roman" w:hAnsi="Times New Roman"/>
          <w:sz w:val="28"/>
          <w:szCs w:val="28"/>
          <w:lang w:val="uk-UA"/>
        </w:rPr>
      </w:pPr>
      <w:smartTag w:uri="urn:schemas-microsoft-com:office:smarttags" w:element="PlaceName">
        <w:smartTag w:uri="urn:schemas-microsoft-com:office:smarttags" w:element="place">
          <w:r>
            <w:rPr>
              <w:rFonts w:ascii="Times New Roman" w:hAnsi="Times New Roman"/>
              <w:sz w:val="28"/>
              <w:szCs w:val="28"/>
              <w:lang w:val="en-US"/>
            </w:rPr>
            <w:t>Ternopil</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State</w:t>
          </w:r>
        </w:smartTag>
        <w:r>
          <w:rPr>
            <w:rFonts w:ascii="Times New Roman" w:hAnsi="Times New Roman"/>
            <w:sz w:val="28"/>
            <w:szCs w:val="28"/>
            <w:lang w:val="en-US"/>
          </w:rPr>
          <w:t xml:space="preserve"> </w:t>
        </w:r>
        <w:smartTag w:uri="urn:schemas-microsoft-com:office:smarttags" w:element="PlaceName">
          <w:r>
            <w:rPr>
              <w:rFonts w:ascii="Times New Roman" w:hAnsi="Times New Roman"/>
              <w:sz w:val="28"/>
              <w:szCs w:val="28"/>
              <w:lang w:val="en-US"/>
            </w:rPr>
            <w:t>Medical</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University</w:t>
          </w:r>
        </w:smartTag>
      </w:smartTag>
    </w:p>
    <w:p w:rsidR="00396A37" w:rsidRDefault="00396A37" w:rsidP="006214EE">
      <w:pPr>
        <w:spacing w:after="0" w:line="360" w:lineRule="auto"/>
        <w:ind w:firstLine="709"/>
        <w:jc w:val="both"/>
        <w:rPr>
          <w:rFonts w:ascii="Times New Roman" w:hAnsi="Times New Roman"/>
          <w:sz w:val="28"/>
          <w:szCs w:val="28"/>
          <w:lang w:val="uk-UA"/>
        </w:rPr>
      </w:pPr>
      <w:r>
        <w:rPr>
          <w:rFonts w:ascii="Times New Roman" w:hAnsi="Times New Roman"/>
          <w:sz w:val="28"/>
          <w:szCs w:val="28"/>
          <w:lang w:val="en-US"/>
        </w:rPr>
        <w:t>Key words: p</w:t>
      </w:r>
      <w:bookmarkStart w:id="0" w:name="_GoBack"/>
      <w:bookmarkEnd w:id="0"/>
      <w:r>
        <w:rPr>
          <w:rFonts w:ascii="Times New Roman" w:hAnsi="Times New Roman"/>
          <w:sz w:val="28"/>
          <w:szCs w:val="28"/>
          <w:lang w:val="en-US"/>
        </w:rPr>
        <w:t>harmacotherapy, thyroid disease, expert assessment.</w:t>
      </w:r>
    </w:p>
    <w:p w:rsidR="00396A37" w:rsidRPr="00463A78" w:rsidRDefault="00396A37" w:rsidP="00463A78">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i/>
          <w:sz w:val="28"/>
          <w:szCs w:val="28"/>
          <w:lang w:val="en-US"/>
        </w:rPr>
      </w:pPr>
      <w:r w:rsidRPr="00463A78">
        <w:rPr>
          <w:rFonts w:ascii="Times New Roman" w:hAnsi="Times New Roman"/>
          <w:i/>
          <w:sz w:val="28"/>
          <w:szCs w:val="28"/>
          <w:lang w:val="en-US"/>
        </w:rPr>
        <w:t xml:space="preserve">It is known that the main factor that forms a demand for drugs for treatment of thyroid diseases is doctor. However this issue in the modern scientific literature is not properly highlighted. The aim of our study was to obtain reliable information about the range of drugs used for pharmacotherapy of thyroid diseases in Ternopil region hospitals. As experts were 35 endocrinologists from different medical institutions. The largest share were experts with practical experience of over 10 years (74.29%). The vast majority had qualification categories and the proportion of specialists who had higher and first category was 65.71%. Based on determination of coefficient competence into our formed team of experts were included questionnaires of 30 specialists. It was analyzed frequency of drugs prescription by experts for treatment and prevention of thyroid disease. We found that the largest percentage of use in practice of endocrinologists among levothyroxine sodium drugs is L-thyroxine 50 Berlin-Chemie. Among tiamazol advantage by the total number of prescriptions was equally Merkazolil Zdorovia 5 mg and Thyrozol 5 mg, but the last one is used more often. From iodine preparations (potassium iodide) 83.3% of experts prefer Yodomaryn® 200. It was determined significance of functional and other qualities of drugs. The most important feature of drugs that affect prescriptions, doctors have identified the effectiveness of drugs. Also it was identified which sources of information about drugs use in their work endocrinologists. Found that most doctors give preference to information about drugs from materials of scientific conferences and to medical representatives. </w:t>
      </w:r>
    </w:p>
    <w:p w:rsidR="00396A37" w:rsidRPr="00463A78" w:rsidRDefault="00396A37" w:rsidP="00463A78">
      <w:pPr>
        <w:spacing w:after="0" w:line="360" w:lineRule="auto"/>
        <w:jc w:val="both"/>
        <w:rPr>
          <w:rFonts w:ascii="Times New Roman" w:hAnsi="Times New Roman"/>
          <w:sz w:val="28"/>
          <w:szCs w:val="28"/>
          <w:lang w:val="en-US"/>
        </w:rPr>
      </w:pPr>
    </w:p>
    <w:p w:rsidR="00396A37" w:rsidRDefault="00396A37" w:rsidP="006214EE">
      <w:pPr>
        <w:spacing w:after="0" w:line="360" w:lineRule="auto"/>
        <w:ind w:firstLine="709"/>
        <w:jc w:val="both"/>
        <w:rPr>
          <w:rFonts w:ascii="Times New Roman" w:hAnsi="Times New Roman"/>
          <w:sz w:val="28"/>
          <w:szCs w:val="28"/>
          <w:lang w:val="uk-UA"/>
        </w:rPr>
      </w:pPr>
      <w:r w:rsidRPr="00E62FC1">
        <w:rPr>
          <w:rFonts w:ascii="Times New Roman" w:hAnsi="Times New Roman"/>
          <w:sz w:val="28"/>
          <w:szCs w:val="28"/>
          <w:lang w:val="en-US"/>
        </w:rPr>
        <w:t>Dominant place in structure of morbidity and mortality of Ukraine in recent years took chronic non-communicable diseases, especially diseases of blood circulation, significantly increased the importance of injuries, endocrine, neuro-psychiatric, allergic, genetic and other diseases with complex etiology</w:t>
      </w:r>
      <w:r>
        <w:rPr>
          <w:rFonts w:ascii="Times New Roman" w:hAnsi="Times New Roman"/>
          <w:sz w:val="28"/>
          <w:szCs w:val="28"/>
          <w:lang w:val="en-US"/>
        </w:rPr>
        <w:t xml:space="preserve"> [5, 6]</w:t>
      </w:r>
      <w:r w:rsidRPr="00E62FC1">
        <w:rPr>
          <w:rFonts w:ascii="Times New Roman" w:hAnsi="Times New Roman"/>
          <w:sz w:val="28"/>
          <w:szCs w:val="28"/>
          <w:lang w:val="en-US"/>
        </w:rPr>
        <w:t>.</w:t>
      </w:r>
    </w:p>
    <w:p w:rsidR="00396A37" w:rsidRDefault="00396A37" w:rsidP="006214EE">
      <w:pPr>
        <w:spacing w:after="0" w:line="360" w:lineRule="auto"/>
        <w:ind w:firstLine="709"/>
        <w:jc w:val="both"/>
        <w:rPr>
          <w:rFonts w:ascii="Times New Roman" w:hAnsi="Times New Roman"/>
          <w:sz w:val="28"/>
          <w:szCs w:val="28"/>
          <w:lang w:val="uk-UA"/>
        </w:rPr>
      </w:pPr>
      <w:r w:rsidRPr="00E62FC1">
        <w:rPr>
          <w:rFonts w:ascii="Times New Roman" w:hAnsi="Times New Roman"/>
          <w:sz w:val="28"/>
          <w:szCs w:val="28"/>
          <w:lang w:val="en-US"/>
        </w:rPr>
        <w:t>The high frequency of endocrine diseases, including thyroid disease (TD) can be explained by many reasons: high incidence of iodine deficiency conditions, genetic predisposition, high anthropogenic pressure, disruption of nutrition structure and social factors (working conditions, welfare, medical care)</w:t>
      </w:r>
      <w:r>
        <w:rPr>
          <w:rFonts w:ascii="Times New Roman" w:hAnsi="Times New Roman"/>
          <w:sz w:val="28"/>
          <w:szCs w:val="28"/>
          <w:lang w:val="en-US"/>
        </w:rPr>
        <w:t xml:space="preserve"> [6, 7]</w:t>
      </w:r>
      <w:r w:rsidRPr="00E62FC1">
        <w:rPr>
          <w:rFonts w:ascii="Times New Roman" w:hAnsi="Times New Roman"/>
          <w:sz w:val="28"/>
          <w:szCs w:val="28"/>
          <w:lang w:val="en-US"/>
        </w:rPr>
        <w:t>.</w:t>
      </w:r>
    </w:p>
    <w:p w:rsidR="00396A37" w:rsidRDefault="00396A37" w:rsidP="006214EE">
      <w:pPr>
        <w:spacing w:after="0" w:line="360" w:lineRule="auto"/>
        <w:ind w:firstLine="709"/>
        <w:jc w:val="both"/>
        <w:rPr>
          <w:rFonts w:ascii="Times New Roman" w:hAnsi="Times New Roman"/>
          <w:sz w:val="28"/>
          <w:szCs w:val="28"/>
          <w:lang w:val="en-US"/>
        </w:rPr>
      </w:pPr>
      <w:r w:rsidRPr="00E62FC1">
        <w:rPr>
          <w:rFonts w:ascii="Times New Roman" w:hAnsi="Times New Roman"/>
          <w:sz w:val="28"/>
          <w:szCs w:val="28"/>
          <w:lang w:val="en-US"/>
        </w:rPr>
        <w:t>Thyroid diseases belong to the category of the most serious illnesses because they are accompanied by changes of hormonal level of whole organism and leads to disruption of vital processes in other organs, which provoke the emergence of concomitant pathologies</w:t>
      </w:r>
      <w:r>
        <w:rPr>
          <w:rFonts w:ascii="Times New Roman" w:hAnsi="Times New Roman"/>
          <w:sz w:val="28"/>
          <w:szCs w:val="28"/>
          <w:lang w:val="en-US"/>
        </w:rPr>
        <w:t xml:space="preserve"> [8]</w:t>
      </w:r>
      <w:r w:rsidRPr="00E62FC1">
        <w:rPr>
          <w:rFonts w:ascii="Times New Roman" w:hAnsi="Times New Roman"/>
          <w:sz w:val="28"/>
          <w:szCs w:val="28"/>
          <w:lang w:val="en-US"/>
        </w:rPr>
        <w:t>.</w:t>
      </w:r>
      <w:r>
        <w:rPr>
          <w:rFonts w:ascii="Times New Roman" w:hAnsi="Times New Roman"/>
          <w:sz w:val="28"/>
          <w:szCs w:val="28"/>
          <w:lang w:val="en-US"/>
        </w:rPr>
        <w:t xml:space="preserve"> </w:t>
      </w:r>
      <w:r w:rsidRPr="009B185A">
        <w:rPr>
          <w:rFonts w:ascii="Times New Roman" w:hAnsi="Times New Roman"/>
          <w:sz w:val="28"/>
          <w:szCs w:val="28"/>
          <w:lang w:val="en-US"/>
        </w:rPr>
        <w:t>Wide range of manifestations of thyroid diseases led to the conclusion that diagnostics and treatment of this pathology doctor should do.</w:t>
      </w:r>
      <w:r>
        <w:rPr>
          <w:rFonts w:ascii="Times New Roman" w:hAnsi="Times New Roman"/>
          <w:sz w:val="28"/>
          <w:szCs w:val="28"/>
          <w:lang w:val="en-US"/>
        </w:rPr>
        <w:t xml:space="preserve"> </w:t>
      </w:r>
      <w:r w:rsidRPr="005338C2">
        <w:rPr>
          <w:rFonts w:ascii="Times New Roman" w:hAnsi="Times New Roman"/>
          <w:sz w:val="28"/>
          <w:szCs w:val="28"/>
          <w:lang w:val="en-US"/>
        </w:rPr>
        <w:t>This means that the main factor that forms a demand for drugs for trea</w:t>
      </w:r>
      <w:r>
        <w:rPr>
          <w:rFonts w:ascii="Times New Roman" w:hAnsi="Times New Roman"/>
          <w:sz w:val="28"/>
          <w:szCs w:val="28"/>
          <w:lang w:val="en-US"/>
        </w:rPr>
        <w:t xml:space="preserve">tment of thyroid diseases (TD) is </w:t>
      </w:r>
      <w:r w:rsidRPr="005338C2">
        <w:rPr>
          <w:rFonts w:ascii="Times New Roman" w:hAnsi="Times New Roman"/>
          <w:sz w:val="28"/>
          <w:szCs w:val="28"/>
          <w:lang w:val="en-US"/>
        </w:rPr>
        <w:t>doctor.</w:t>
      </w:r>
      <w:r>
        <w:rPr>
          <w:rFonts w:ascii="Times New Roman" w:hAnsi="Times New Roman"/>
          <w:sz w:val="28"/>
          <w:szCs w:val="28"/>
          <w:lang w:val="en-US"/>
        </w:rPr>
        <w:t xml:space="preserve"> </w:t>
      </w:r>
      <w:r w:rsidRPr="004A28BE">
        <w:rPr>
          <w:rFonts w:ascii="Times New Roman" w:hAnsi="Times New Roman"/>
          <w:sz w:val="28"/>
          <w:szCs w:val="28"/>
          <w:lang w:val="en-US"/>
        </w:rPr>
        <w:t>This fact became our motivation for research of expert assessments on the choice of medications for pharmacotherapy of TD.</w:t>
      </w:r>
    </w:p>
    <w:p w:rsidR="00396A37" w:rsidRDefault="00396A37" w:rsidP="006214EE">
      <w:pPr>
        <w:spacing w:after="0" w:line="360" w:lineRule="auto"/>
        <w:ind w:firstLine="709"/>
        <w:jc w:val="both"/>
        <w:rPr>
          <w:rFonts w:ascii="Times New Roman" w:hAnsi="Times New Roman"/>
          <w:sz w:val="28"/>
          <w:szCs w:val="28"/>
          <w:lang w:val="en-US"/>
        </w:rPr>
      </w:pPr>
      <w:r w:rsidRPr="004A28BE">
        <w:rPr>
          <w:rFonts w:ascii="Times New Roman" w:hAnsi="Times New Roman"/>
          <w:sz w:val="28"/>
          <w:szCs w:val="28"/>
          <w:lang w:val="uk-UA"/>
        </w:rPr>
        <w:t>The aim of our study was to obtain reliable information about the range of drugs used for pharmacotherapy of TD in Ternopil region hospitals.</w:t>
      </w:r>
    </w:p>
    <w:p w:rsidR="00396A37" w:rsidRPr="004A28BE" w:rsidRDefault="00396A37" w:rsidP="006214EE">
      <w:pPr>
        <w:spacing w:after="0" w:line="360" w:lineRule="auto"/>
        <w:ind w:firstLine="709"/>
        <w:jc w:val="both"/>
        <w:rPr>
          <w:rFonts w:ascii="Times New Roman" w:hAnsi="Times New Roman"/>
          <w:b/>
          <w:sz w:val="28"/>
          <w:szCs w:val="28"/>
          <w:lang w:val="en-US"/>
        </w:rPr>
      </w:pPr>
      <w:r w:rsidRPr="004A28BE">
        <w:rPr>
          <w:rFonts w:ascii="Times New Roman" w:hAnsi="Times New Roman"/>
          <w:b/>
          <w:sz w:val="28"/>
          <w:szCs w:val="28"/>
          <w:lang w:val="en-US"/>
        </w:rPr>
        <w:t>Materials and methods</w:t>
      </w:r>
    </w:p>
    <w:p w:rsidR="00396A37" w:rsidRDefault="00396A37" w:rsidP="006214EE">
      <w:pPr>
        <w:spacing w:after="0" w:line="360" w:lineRule="auto"/>
        <w:ind w:firstLine="709"/>
        <w:jc w:val="both"/>
        <w:rPr>
          <w:rFonts w:ascii="Times New Roman" w:hAnsi="Times New Roman"/>
          <w:sz w:val="28"/>
          <w:szCs w:val="28"/>
          <w:lang w:val="en-US"/>
        </w:rPr>
      </w:pPr>
      <w:r w:rsidRPr="004A28BE">
        <w:rPr>
          <w:rFonts w:ascii="Times New Roman" w:hAnsi="Times New Roman"/>
          <w:sz w:val="28"/>
          <w:szCs w:val="28"/>
          <w:lang w:val="en-US"/>
        </w:rPr>
        <w:t xml:space="preserve">Method of expert assessment is based on a complex of logical and mathematical-statistical analysis that allows </w:t>
      </w:r>
      <w:r>
        <w:rPr>
          <w:rFonts w:ascii="Times New Roman" w:hAnsi="Times New Roman"/>
          <w:sz w:val="28"/>
          <w:szCs w:val="28"/>
          <w:lang w:val="en-US"/>
        </w:rPr>
        <w:t>to bring</w:t>
      </w:r>
      <w:r w:rsidRPr="004A28BE">
        <w:rPr>
          <w:rFonts w:ascii="Times New Roman" w:hAnsi="Times New Roman"/>
          <w:sz w:val="28"/>
          <w:szCs w:val="28"/>
          <w:lang w:val="en-US"/>
        </w:rPr>
        <w:t xml:space="preserve"> personal expert opinion into collective</w:t>
      </w:r>
      <w:r>
        <w:rPr>
          <w:rFonts w:ascii="Times New Roman" w:hAnsi="Times New Roman"/>
          <w:sz w:val="28"/>
          <w:szCs w:val="28"/>
          <w:lang w:val="en-US"/>
        </w:rPr>
        <w:t xml:space="preserve"> </w:t>
      </w:r>
      <w:r w:rsidRPr="005A665B">
        <w:rPr>
          <w:rFonts w:ascii="Times New Roman" w:hAnsi="Times New Roman"/>
          <w:sz w:val="28"/>
          <w:szCs w:val="28"/>
          <w:lang w:val="en-US"/>
        </w:rPr>
        <w:t>[1, 3]</w:t>
      </w:r>
      <w:r w:rsidRPr="004A28BE">
        <w:rPr>
          <w:rFonts w:ascii="Times New Roman" w:hAnsi="Times New Roman"/>
          <w:sz w:val="28"/>
          <w:szCs w:val="28"/>
          <w:lang w:val="en-US"/>
        </w:rPr>
        <w:t>.</w:t>
      </w:r>
      <w:r>
        <w:rPr>
          <w:rFonts w:ascii="Times New Roman" w:hAnsi="Times New Roman"/>
          <w:sz w:val="28"/>
          <w:szCs w:val="28"/>
          <w:lang w:val="en-US"/>
        </w:rPr>
        <w:t xml:space="preserve"> </w:t>
      </w:r>
      <w:r w:rsidRPr="005A665B">
        <w:rPr>
          <w:rFonts w:ascii="Times New Roman" w:hAnsi="Times New Roman"/>
          <w:sz w:val="28"/>
          <w:szCs w:val="28"/>
          <w:lang w:val="en-US"/>
        </w:rPr>
        <w:t>Analyzed information is a basis for decision making.</w:t>
      </w:r>
      <w:r>
        <w:rPr>
          <w:rFonts w:ascii="Times New Roman" w:hAnsi="Times New Roman"/>
          <w:sz w:val="28"/>
          <w:szCs w:val="28"/>
          <w:lang w:val="en-US"/>
        </w:rPr>
        <w:t xml:space="preserve"> </w:t>
      </w:r>
      <w:r w:rsidRPr="005A665B">
        <w:rPr>
          <w:rFonts w:ascii="Times New Roman" w:hAnsi="Times New Roman"/>
          <w:sz w:val="28"/>
          <w:szCs w:val="28"/>
          <w:lang w:val="en-US"/>
        </w:rPr>
        <w:t>As object of research we chose primary information from questionnaires of expert assessments.</w:t>
      </w:r>
    </w:p>
    <w:p w:rsidR="00396A37" w:rsidRDefault="00396A37" w:rsidP="006214EE">
      <w:pPr>
        <w:spacing w:after="0" w:line="360" w:lineRule="auto"/>
        <w:ind w:firstLine="709"/>
        <w:jc w:val="both"/>
        <w:rPr>
          <w:rFonts w:ascii="Times New Roman" w:hAnsi="Times New Roman"/>
          <w:sz w:val="28"/>
          <w:szCs w:val="28"/>
          <w:lang w:val="en-US"/>
        </w:rPr>
      </w:pPr>
      <w:r w:rsidRPr="005A665B">
        <w:rPr>
          <w:rFonts w:ascii="Times New Roman" w:hAnsi="Times New Roman"/>
          <w:sz w:val="28"/>
          <w:szCs w:val="28"/>
          <w:lang w:val="en-US"/>
        </w:rPr>
        <w:t xml:space="preserve">Methodology </w:t>
      </w:r>
      <w:r>
        <w:rPr>
          <w:rFonts w:ascii="Times New Roman" w:hAnsi="Times New Roman"/>
          <w:sz w:val="28"/>
          <w:szCs w:val="28"/>
          <w:lang w:val="en-US"/>
        </w:rPr>
        <w:t xml:space="preserve">of </w:t>
      </w:r>
      <w:r w:rsidRPr="005A665B">
        <w:rPr>
          <w:rFonts w:ascii="Times New Roman" w:hAnsi="Times New Roman"/>
          <w:sz w:val="28"/>
          <w:szCs w:val="28"/>
          <w:lang w:val="en-US"/>
        </w:rPr>
        <w:t>expert assessment of drugs included implementation of the following stages:</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sidRPr="005A665B">
        <w:rPr>
          <w:rFonts w:ascii="Times New Roman" w:hAnsi="Times New Roman"/>
          <w:sz w:val="28"/>
          <w:szCs w:val="28"/>
          <w:lang w:val="en-US"/>
        </w:rPr>
        <w:t>elaboration of questionnaires</w:t>
      </w:r>
      <w:r>
        <w:rPr>
          <w:rFonts w:ascii="Times New Roman" w:hAnsi="Times New Roman"/>
          <w:sz w:val="28"/>
          <w:szCs w:val="28"/>
          <w:lang w:val="en-US"/>
        </w:rPr>
        <w:t>;</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v</w:t>
      </w:r>
      <w:r w:rsidRPr="005A665B">
        <w:rPr>
          <w:rFonts w:ascii="Times New Roman" w:hAnsi="Times New Roman"/>
          <w:sz w:val="28"/>
          <w:szCs w:val="28"/>
          <w:lang w:val="en-US"/>
        </w:rPr>
        <w:t>alidation</w:t>
      </w:r>
      <w:r>
        <w:rPr>
          <w:rFonts w:ascii="Times New Roman" w:hAnsi="Times New Roman"/>
          <w:sz w:val="28"/>
          <w:szCs w:val="28"/>
          <w:lang w:val="en-US"/>
        </w:rPr>
        <w:t xml:space="preserve"> of</w:t>
      </w:r>
      <w:r w:rsidRPr="005A665B">
        <w:rPr>
          <w:rFonts w:ascii="Times New Roman" w:hAnsi="Times New Roman"/>
          <w:sz w:val="28"/>
          <w:szCs w:val="28"/>
          <w:lang w:val="en-US"/>
        </w:rPr>
        <w:t xml:space="preserve"> questionnaire</w:t>
      </w:r>
      <w:r>
        <w:rPr>
          <w:rFonts w:ascii="Times New Roman" w:hAnsi="Times New Roman"/>
          <w:sz w:val="28"/>
          <w:szCs w:val="28"/>
          <w:lang w:val="en-US"/>
        </w:rPr>
        <w:t>s by</w:t>
      </w:r>
      <w:r w:rsidRPr="005A665B">
        <w:rPr>
          <w:rFonts w:ascii="Times New Roman" w:hAnsi="Times New Roman"/>
          <w:sz w:val="28"/>
          <w:szCs w:val="28"/>
          <w:lang w:val="en-US"/>
        </w:rPr>
        <w:t xml:space="preserve"> highly qualified experts;</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sidRPr="005A665B">
        <w:rPr>
          <w:rFonts w:ascii="Times New Roman" w:hAnsi="Times New Roman"/>
          <w:sz w:val="28"/>
          <w:szCs w:val="28"/>
          <w:lang w:val="en-US"/>
        </w:rPr>
        <w:t>distribution of questionna</w:t>
      </w:r>
      <w:r>
        <w:rPr>
          <w:rFonts w:ascii="Times New Roman" w:hAnsi="Times New Roman"/>
          <w:sz w:val="28"/>
          <w:szCs w:val="28"/>
          <w:lang w:val="en-US"/>
        </w:rPr>
        <w:t>ires among experts in the field;</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interviewing of </w:t>
      </w:r>
      <w:r w:rsidRPr="005A665B">
        <w:rPr>
          <w:rFonts w:ascii="Times New Roman" w:hAnsi="Times New Roman"/>
          <w:sz w:val="28"/>
          <w:szCs w:val="28"/>
          <w:lang w:val="en-US"/>
        </w:rPr>
        <w:t>experts;</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f</w:t>
      </w:r>
      <w:r w:rsidRPr="005A665B">
        <w:rPr>
          <w:rFonts w:ascii="Times New Roman" w:hAnsi="Times New Roman"/>
          <w:sz w:val="28"/>
          <w:szCs w:val="28"/>
          <w:lang w:val="en-US"/>
        </w:rPr>
        <w:t>eedback (return of questionnaires);</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p</w:t>
      </w:r>
      <w:r w:rsidRPr="007B0100">
        <w:rPr>
          <w:rFonts w:ascii="Times New Roman" w:hAnsi="Times New Roman"/>
          <w:sz w:val="28"/>
          <w:szCs w:val="28"/>
          <w:lang w:val="en-US"/>
        </w:rPr>
        <w:t>rima</w:t>
      </w:r>
      <w:r>
        <w:rPr>
          <w:rFonts w:ascii="Times New Roman" w:hAnsi="Times New Roman"/>
          <w:sz w:val="28"/>
          <w:szCs w:val="28"/>
          <w:lang w:val="en-US"/>
        </w:rPr>
        <w:t>ry selection of questionnaires;</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s</w:t>
      </w:r>
      <w:r w:rsidRPr="007B0100">
        <w:rPr>
          <w:rFonts w:ascii="Times New Roman" w:hAnsi="Times New Roman"/>
          <w:sz w:val="28"/>
          <w:szCs w:val="28"/>
          <w:lang w:val="en-US"/>
        </w:rPr>
        <w:t>econdary selection of questionnaires (</w:t>
      </w:r>
      <w:r>
        <w:rPr>
          <w:rFonts w:ascii="Times New Roman" w:hAnsi="Times New Roman"/>
          <w:sz w:val="28"/>
          <w:szCs w:val="28"/>
          <w:lang w:val="en-US"/>
        </w:rPr>
        <w:t xml:space="preserve">by </w:t>
      </w:r>
      <w:r w:rsidRPr="007B0100">
        <w:rPr>
          <w:rFonts w:ascii="Times New Roman" w:hAnsi="Times New Roman"/>
          <w:sz w:val="28"/>
          <w:szCs w:val="28"/>
          <w:lang w:val="en-US"/>
        </w:rPr>
        <w:t xml:space="preserve">determining </w:t>
      </w:r>
      <w:r>
        <w:rPr>
          <w:rFonts w:ascii="Times New Roman" w:hAnsi="Times New Roman"/>
          <w:sz w:val="28"/>
          <w:szCs w:val="28"/>
          <w:lang w:val="en-US"/>
        </w:rPr>
        <w:t>coefficient of</w:t>
      </w:r>
      <w:r w:rsidRPr="007B0100">
        <w:rPr>
          <w:rFonts w:ascii="Times New Roman" w:hAnsi="Times New Roman"/>
          <w:sz w:val="28"/>
          <w:szCs w:val="28"/>
          <w:lang w:val="en-US"/>
        </w:rPr>
        <w:t xml:space="preserve"> competence of experts);</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e</w:t>
      </w:r>
      <w:r w:rsidRPr="007B0100">
        <w:rPr>
          <w:rFonts w:ascii="Times New Roman" w:hAnsi="Times New Roman"/>
          <w:sz w:val="28"/>
          <w:szCs w:val="28"/>
          <w:lang w:val="en-US"/>
        </w:rPr>
        <w:t xml:space="preserve">ntering </w:t>
      </w:r>
      <w:r>
        <w:rPr>
          <w:rFonts w:ascii="Times New Roman" w:hAnsi="Times New Roman"/>
          <w:sz w:val="28"/>
          <w:szCs w:val="28"/>
          <w:lang w:val="en-US"/>
        </w:rPr>
        <w:t xml:space="preserve">received data into </w:t>
      </w:r>
      <w:r w:rsidRPr="007B0100">
        <w:rPr>
          <w:rFonts w:ascii="Times New Roman" w:hAnsi="Times New Roman"/>
          <w:sz w:val="28"/>
          <w:szCs w:val="28"/>
          <w:lang w:val="en-US"/>
        </w:rPr>
        <w:t>computer;</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p</w:t>
      </w:r>
      <w:r w:rsidRPr="007B0100">
        <w:rPr>
          <w:rFonts w:ascii="Times New Roman" w:hAnsi="Times New Roman"/>
          <w:sz w:val="28"/>
          <w:szCs w:val="28"/>
          <w:lang w:val="en-US"/>
        </w:rPr>
        <w:t>rocessing of data using package of applied programs Microsoft Excel (version 97-2003);</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interpretation</w:t>
      </w:r>
      <w:r w:rsidRPr="007B0100">
        <w:rPr>
          <w:rFonts w:ascii="Times New Roman" w:hAnsi="Times New Roman"/>
          <w:sz w:val="28"/>
          <w:szCs w:val="28"/>
          <w:lang w:val="en-US"/>
        </w:rPr>
        <w:t xml:space="preserve"> of received results and making conclusions.</w:t>
      </w:r>
    </w:p>
    <w:p w:rsidR="00396A37" w:rsidRDefault="00396A37" w:rsidP="006214EE">
      <w:pPr>
        <w:spacing w:after="0" w:line="360" w:lineRule="auto"/>
        <w:ind w:firstLine="709"/>
        <w:jc w:val="both"/>
        <w:rPr>
          <w:rFonts w:ascii="Times New Roman" w:hAnsi="Times New Roman"/>
          <w:sz w:val="28"/>
          <w:szCs w:val="28"/>
          <w:lang w:val="en-US"/>
        </w:rPr>
      </w:pPr>
      <w:r w:rsidRPr="00B72417">
        <w:rPr>
          <w:rFonts w:ascii="Times New Roman" w:hAnsi="Times New Roman"/>
          <w:sz w:val="28"/>
          <w:szCs w:val="28"/>
          <w:lang w:val="en-US"/>
        </w:rPr>
        <w:t>The tool for expert assessment of drugs for treatment of thyroid disease was specifically designed questionnaire t</w:t>
      </w:r>
      <w:r>
        <w:rPr>
          <w:rFonts w:ascii="Times New Roman" w:hAnsi="Times New Roman"/>
          <w:sz w:val="28"/>
          <w:szCs w:val="28"/>
          <w:lang w:val="en-US"/>
        </w:rPr>
        <w:t>hat included following sections:</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i</w:t>
      </w:r>
      <w:r w:rsidRPr="00B72417">
        <w:rPr>
          <w:rFonts w:ascii="Times New Roman" w:hAnsi="Times New Roman"/>
          <w:sz w:val="28"/>
          <w:szCs w:val="28"/>
          <w:lang w:val="en-US"/>
        </w:rPr>
        <w:t>nstructions for filling questionnaire;</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p</w:t>
      </w:r>
      <w:r w:rsidRPr="00B72417">
        <w:rPr>
          <w:rFonts w:ascii="Times New Roman" w:hAnsi="Times New Roman"/>
          <w:sz w:val="28"/>
          <w:szCs w:val="28"/>
          <w:lang w:val="en-US"/>
        </w:rPr>
        <w:t xml:space="preserve">rofessional data </w:t>
      </w:r>
      <w:r>
        <w:rPr>
          <w:rFonts w:ascii="Times New Roman" w:hAnsi="Times New Roman"/>
          <w:sz w:val="28"/>
          <w:szCs w:val="28"/>
          <w:lang w:val="en-US"/>
        </w:rPr>
        <w:t xml:space="preserve">of </w:t>
      </w:r>
      <w:r w:rsidRPr="00B72417">
        <w:rPr>
          <w:rFonts w:ascii="Times New Roman" w:hAnsi="Times New Roman"/>
          <w:sz w:val="28"/>
          <w:szCs w:val="28"/>
          <w:lang w:val="en-US"/>
        </w:rPr>
        <w:t>experts;</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i</w:t>
      </w:r>
      <w:r w:rsidRPr="00B72417">
        <w:rPr>
          <w:rFonts w:ascii="Times New Roman" w:hAnsi="Times New Roman"/>
          <w:sz w:val="28"/>
          <w:szCs w:val="28"/>
          <w:lang w:val="en-US"/>
        </w:rPr>
        <w:t>nformation about frequency of specific drugs appointments;</w:t>
      </w:r>
    </w:p>
    <w:p w:rsidR="00396A37" w:rsidRPr="00B7241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a</w:t>
      </w:r>
      <w:r w:rsidRPr="00B72417">
        <w:rPr>
          <w:rFonts w:ascii="Times New Roman" w:hAnsi="Times New Roman"/>
          <w:sz w:val="28"/>
          <w:szCs w:val="28"/>
          <w:lang w:val="en-US"/>
        </w:rPr>
        <w:t>ssessment of significance of functional and other qualities of drugs;</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assessment of informational sources.</w:t>
      </w:r>
    </w:p>
    <w:p w:rsidR="00396A37" w:rsidRDefault="00396A37" w:rsidP="006214EE">
      <w:pPr>
        <w:spacing w:after="0" w:line="360" w:lineRule="auto"/>
        <w:ind w:firstLine="709"/>
        <w:jc w:val="both"/>
        <w:rPr>
          <w:rFonts w:ascii="Times New Roman" w:hAnsi="Times New Roman"/>
          <w:sz w:val="28"/>
          <w:szCs w:val="28"/>
          <w:lang w:val="en-US"/>
        </w:rPr>
      </w:pPr>
      <w:r w:rsidRPr="00DB3248">
        <w:rPr>
          <w:rFonts w:ascii="Times New Roman" w:hAnsi="Times New Roman"/>
          <w:sz w:val="28"/>
          <w:szCs w:val="28"/>
          <w:lang w:val="en-US"/>
        </w:rPr>
        <w:t xml:space="preserve">The choice of drugs that were included into questionnaires was based on the basis of clinical protocols of care for patients with thyroid pathology, National Formulary of medicines in </w:t>
      </w:r>
      <w:smartTag w:uri="urn:schemas-microsoft-com:office:smarttags" w:element="Street">
        <w:r w:rsidRPr="00DB3248">
          <w:rPr>
            <w:rFonts w:ascii="Times New Roman" w:hAnsi="Times New Roman"/>
            <w:sz w:val="28"/>
            <w:szCs w:val="28"/>
            <w:lang w:val="en-US"/>
          </w:rPr>
          <w:t>Ukraine</w:t>
        </w:r>
      </w:smartTag>
      <w:r w:rsidRPr="00DB3248">
        <w:rPr>
          <w:rFonts w:ascii="Times New Roman" w:hAnsi="Times New Roman"/>
          <w:sz w:val="28"/>
          <w:szCs w:val="28"/>
          <w:lang w:val="en-US"/>
        </w:rPr>
        <w:t xml:space="preserve"> (sixth edition).</w:t>
      </w:r>
      <w:r w:rsidRPr="00B72417">
        <w:rPr>
          <w:rFonts w:ascii="Times New Roman" w:hAnsi="Times New Roman"/>
          <w:sz w:val="28"/>
          <w:szCs w:val="28"/>
          <w:lang w:val="en-US"/>
        </w:rPr>
        <w:t xml:space="preserve"> </w:t>
      </w:r>
    </w:p>
    <w:p w:rsidR="00396A37" w:rsidRDefault="00396A37" w:rsidP="006214EE">
      <w:pPr>
        <w:spacing w:after="0" w:line="360" w:lineRule="auto"/>
        <w:ind w:firstLine="709"/>
        <w:jc w:val="both"/>
        <w:rPr>
          <w:rFonts w:ascii="Times New Roman" w:hAnsi="Times New Roman"/>
          <w:sz w:val="28"/>
          <w:szCs w:val="28"/>
          <w:lang w:val="en-US"/>
        </w:rPr>
      </w:pPr>
      <w:r w:rsidRPr="00DB3248">
        <w:rPr>
          <w:rFonts w:ascii="Times New Roman" w:hAnsi="Times New Roman"/>
          <w:sz w:val="28"/>
          <w:szCs w:val="28"/>
          <w:lang w:val="en-US"/>
        </w:rPr>
        <w:t>As experts were 35 endocrinologists from different medical institutions of Ternopil region.</w:t>
      </w:r>
    </w:p>
    <w:p w:rsidR="00396A37" w:rsidRDefault="00396A37" w:rsidP="006214EE">
      <w:pPr>
        <w:spacing w:after="0" w:line="360" w:lineRule="auto"/>
        <w:ind w:firstLine="709"/>
        <w:jc w:val="both"/>
        <w:rPr>
          <w:rFonts w:ascii="Times New Roman" w:hAnsi="Times New Roman"/>
          <w:b/>
          <w:sz w:val="28"/>
          <w:szCs w:val="28"/>
          <w:lang w:val="en-US"/>
        </w:rPr>
      </w:pPr>
      <w:r w:rsidRPr="00DB3248">
        <w:rPr>
          <w:rFonts w:ascii="Times New Roman" w:hAnsi="Times New Roman"/>
          <w:b/>
          <w:sz w:val="28"/>
          <w:szCs w:val="28"/>
          <w:lang w:val="en-US"/>
        </w:rPr>
        <w:t>Results and Discussion</w:t>
      </w:r>
    </w:p>
    <w:p w:rsidR="00396A37" w:rsidRDefault="00396A37" w:rsidP="006214EE">
      <w:pPr>
        <w:spacing w:after="0" w:line="360" w:lineRule="auto"/>
        <w:ind w:firstLine="709"/>
        <w:jc w:val="both"/>
        <w:rPr>
          <w:rFonts w:ascii="Times New Roman" w:hAnsi="Times New Roman"/>
          <w:sz w:val="28"/>
          <w:szCs w:val="28"/>
          <w:lang w:val="en-US"/>
        </w:rPr>
      </w:pPr>
      <w:r w:rsidRPr="00DB3248">
        <w:rPr>
          <w:rFonts w:ascii="Times New Roman" w:hAnsi="Times New Roman"/>
          <w:sz w:val="28"/>
          <w:szCs w:val="28"/>
          <w:lang w:val="en-US"/>
        </w:rPr>
        <w:t>On the basis of questionnaires we analyzed professional data of experts</w:t>
      </w:r>
      <w:r>
        <w:rPr>
          <w:rFonts w:ascii="Times New Roman" w:hAnsi="Times New Roman"/>
          <w:sz w:val="28"/>
          <w:szCs w:val="28"/>
          <w:lang w:val="en-US"/>
        </w:rPr>
        <w:t xml:space="preserve"> (Table 1)</w:t>
      </w:r>
      <w:r w:rsidRPr="00DB3248">
        <w:rPr>
          <w:rFonts w:ascii="Times New Roman" w:hAnsi="Times New Roman"/>
          <w:sz w:val="28"/>
          <w:szCs w:val="28"/>
          <w:lang w:val="en-US"/>
        </w:rPr>
        <w:t>.</w:t>
      </w:r>
    </w:p>
    <w:p w:rsidR="00396A37" w:rsidRDefault="00396A37" w:rsidP="00E62FC1">
      <w:pPr>
        <w:spacing w:after="0" w:line="360" w:lineRule="auto"/>
        <w:ind w:firstLine="709"/>
        <w:jc w:val="right"/>
        <w:rPr>
          <w:rFonts w:ascii="Times New Roman" w:hAnsi="Times New Roman"/>
          <w:sz w:val="28"/>
          <w:szCs w:val="28"/>
          <w:lang w:val="en-US"/>
        </w:rPr>
      </w:pPr>
      <w:r>
        <w:rPr>
          <w:rFonts w:ascii="Times New Roman" w:hAnsi="Times New Roman"/>
          <w:sz w:val="28"/>
          <w:szCs w:val="28"/>
          <w:lang w:val="en-US"/>
        </w:rPr>
        <w:t>Table 1</w:t>
      </w:r>
    </w:p>
    <w:p w:rsidR="00396A37" w:rsidRDefault="00396A37" w:rsidP="00E62FC1">
      <w:pPr>
        <w:spacing w:after="0" w:line="360" w:lineRule="auto"/>
        <w:ind w:firstLine="709"/>
        <w:jc w:val="center"/>
        <w:rPr>
          <w:rFonts w:ascii="Times New Roman" w:hAnsi="Times New Roman"/>
          <w:b/>
          <w:sz w:val="28"/>
          <w:szCs w:val="28"/>
          <w:lang w:val="en-US"/>
        </w:rPr>
      </w:pPr>
      <w:r w:rsidRPr="00A05D11">
        <w:rPr>
          <w:rFonts w:ascii="Times New Roman" w:hAnsi="Times New Roman"/>
          <w:b/>
          <w:sz w:val="28"/>
          <w:szCs w:val="28"/>
          <w:lang w:val="en-US"/>
        </w:rPr>
        <w:t>Professional data of experts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9"/>
        <w:gridCol w:w="2459"/>
        <w:gridCol w:w="2459"/>
        <w:gridCol w:w="2458"/>
      </w:tblGrid>
      <w:tr w:rsidR="00396A37" w:rsidRPr="00282FFD" w:rsidTr="000F5099">
        <w:tc>
          <w:tcPr>
            <w:tcW w:w="2605" w:type="dxa"/>
            <w:vMerge w:val="restart"/>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lang w:val="en-US"/>
              </w:rPr>
              <w:t>E</w:t>
            </w:r>
            <w:r w:rsidRPr="00282FFD">
              <w:rPr>
                <w:rFonts w:ascii="Times New Roman" w:hAnsi="Times New Roman"/>
                <w:sz w:val="28"/>
                <w:szCs w:val="28"/>
              </w:rPr>
              <w:t xml:space="preserve">valuation </w:t>
            </w:r>
            <w:r w:rsidRPr="00282FFD">
              <w:rPr>
                <w:rFonts w:ascii="Times New Roman" w:hAnsi="Times New Roman"/>
                <w:sz w:val="28"/>
                <w:szCs w:val="28"/>
                <w:lang w:val="en-US"/>
              </w:rPr>
              <w:t>c</w:t>
            </w:r>
            <w:r w:rsidRPr="00282FFD">
              <w:rPr>
                <w:rFonts w:ascii="Times New Roman" w:hAnsi="Times New Roman"/>
                <w:sz w:val="28"/>
                <w:szCs w:val="28"/>
              </w:rPr>
              <w:t>riteria</w:t>
            </w:r>
          </w:p>
        </w:tc>
        <w:tc>
          <w:tcPr>
            <w:tcW w:w="2605" w:type="dxa"/>
            <w:vMerge w:val="restart"/>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Indicator</w:t>
            </w:r>
          </w:p>
        </w:tc>
        <w:tc>
          <w:tcPr>
            <w:tcW w:w="5211" w:type="dxa"/>
            <w:gridSpan w:val="2"/>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lang w:val="en-US"/>
              </w:rPr>
              <w:t>N</w:t>
            </w:r>
            <w:r w:rsidRPr="00282FFD">
              <w:rPr>
                <w:rFonts w:ascii="Times New Roman" w:hAnsi="Times New Roman"/>
                <w:sz w:val="28"/>
                <w:szCs w:val="28"/>
              </w:rPr>
              <w:t>umber of experts</w:t>
            </w:r>
          </w:p>
        </w:tc>
      </w:tr>
      <w:tr w:rsidR="00396A37" w:rsidRPr="00282FFD" w:rsidTr="000F5099">
        <w:tc>
          <w:tcPr>
            <w:tcW w:w="2605" w:type="dxa"/>
            <w:vMerge/>
          </w:tcPr>
          <w:p w:rsidR="00396A37" w:rsidRPr="00282FFD" w:rsidRDefault="00396A37" w:rsidP="000F5099">
            <w:pPr>
              <w:spacing w:after="0" w:line="360" w:lineRule="auto"/>
              <w:jc w:val="center"/>
              <w:rPr>
                <w:rFonts w:ascii="Times New Roman" w:hAnsi="Times New Roman"/>
                <w:sz w:val="28"/>
                <w:szCs w:val="28"/>
              </w:rPr>
            </w:pPr>
          </w:p>
        </w:tc>
        <w:tc>
          <w:tcPr>
            <w:tcW w:w="2605" w:type="dxa"/>
            <w:vMerge/>
          </w:tcPr>
          <w:p w:rsidR="00396A37" w:rsidRPr="00282FFD" w:rsidRDefault="00396A37" w:rsidP="000F5099">
            <w:pPr>
              <w:spacing w:after="0" w:line="360" w:lineRule="auto"/>
              <w:jc w:val="center"/>
              <w:rPr>
                <w:rFonts w:ascii="Times New Roman" w:hAnsi="Times New Roman"/>
                <w:sz w:val="28"/>
                <w:szCs w:val="28"/>
              </w:rPr>
            </w:pPr>
          </w:p>
        </w:tc>
        <w:tc>
          <w:tcPr>
            <w:tcW w:w="260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Absolute indicator</w:t>
            </w:r>
          </w:p>
        </w:tc>
        <w:tc>
          <w:tcPr>
            <w:tcW w:w="260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The relative indicator (%)</w:t>
            </w:r>
          </w:p>
        </w:tc>
      </w:tr>
      <w:tr w:rsidR="00396A37" w:rsidRPr="00282FFD" w:rsidTr="000F5099">
        <w:tc>
          <w:tcPr>
            <w:tcW w:w="260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Work experience</w:t>
            </w:r>
          </w:p>
        </w:tc>
        <w:tc>
          <w:tcPr>
            <w:tcW w:w="2605"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Up to 3 years</w:t>
            </w:r>
          </w:p>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3 – 5 years</w:t>
            </w:r>
          </w:p>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5 – 10 years</w:t>
            </w:r>
          </w:p>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10 – 15 years</w:t>
            </w:r>
          </w:p>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More than 15 years</w:t>
            </w:r>
          </w:p>
        </w:tc>
        <w:tc>
          <w:tcPr>
            <w:tcW w:w="260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3</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7</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19</w:t>
            </w:r>
          </w:p>
        </w:tc>
        <w:tc>
          <w:tcPr>
            <w:tcW w:w="260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5,71</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11,43</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8,57</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20</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54,29</w:t>
            </w:r>
          </w:p>
        </w:tc>
      </w:tr>
      <w:tr w:rsidR="00396A37" w:rsidRPr="00282FFD" w:rsidTr="000F5099">
        <w:tc>
          <w:tcPr>
            <w:tcW w:w="260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Qualifying category</w:t>
            </w:r>
          </w:p>
        </w:tc>
        <w:tc>
          <w:tcPr>
            <w:tcW w:w="2605"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rPr>
              <w:t>High</w:t>
            </w:r>
          </w:p>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First</w:t>
            </w:r>
          </w:p>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Second</w:t>
            </w:r>
          </w:p>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None</w:t>
            </w:r>
          </w:p>
        </w:tc>
        <w:tc>
          <w:tcPr>
            <w:tcW w:w="260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14</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9</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260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40</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25,71</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22,86</w:t>
            </w:r>
          </w:p>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11,43</w:t>
            </w:r>
          </w:p>
        </w:tc>
      </w:tr>
    </w:tbl>
    <w:p w:rsidR="00396A37" w:rsidRPr="00A05D11" w:rsidRDefault="00396A37" w:rsidP="006214EE">
      <w:pPr>
        <w:spacing w:after="0" w:line="360" w:lineRule="auto"/>
        <w:ind w:firstLine="709"/>
        <w:jc w:val="center"/>
        <w:rPr>
          <w:rFonts w:ascii="Times New Roman" w:hAnsi="Times New Roman"/>
          <w:b/>
          <w:sz w:val="28"/>
          <w:szCs w:val="28"/>
          <w:lang w:val="en-US"/>
        </w:rPr>
      </w:pPr>
    </w:p>
    <w:p w:rsidR="00396A37" w:rsidRDefault="00396A37" w:rsidP="006214EE">
      <w:pPr>
        <w:spacing w:after="0" w:line="360" w:lineRule="auto"/>
        <w:ind w:firstLine="709"/>
        <w:jc w:val="both"/>
        <w:rPr>
          <w:rFonts w:ascii="Times New Roman" w:hAnsi="Times New Roman"/>
          <w:sz w:val="28"/>
          <w:szCs w:val="28"/>
          <w:lang w:val="en-US"/>
        </w:rPr>
      </w:pPr>
      <w:r w:rsidRPr="00A05D11">
        <w:rPr>
          <w:rFonts w:ascii="Times New Roman" w:hAnsi="Times New Roman"/>
          <w:sz w:val="28"/>
          <w:szCs w:val="28"/>
          <w:lang w:val="en-US"/>
        </w:rPr>
        <w:t>According to Table 1, we can conclude that the largest share are experts with practical experience of over 10 years (74.29%).</w:t>
      </w:r>
      <w:r>
        <w:rPr>
          <w:rFonts w:ascii="Times New Roman" w:hAnsi="Times New Roman"/>
          <w:sz w:val="28"/>
          <w:szCs w:val="28"/>
          <w:lang w:val="en-US"/>
        </w:rPr>
        <w:t xml:space="preserve"> </w:t>
      </w:r>
      <w:r w:rsidRPr="00A05D11">
        <w:rPr>
          <w:rFonts w:ascii="Times New Roman" w:hAnsi="Times New Roman"/>
          <w:sz w:val="28"/>
          <w:szCs w:val="28"/>
          <w:lang w:val="en-US"/>
        </w:rPr>
        <w:t>The vast majority has qualification categories and the proportion of specialists</w:t>
      </w:r>
      <w:r>
        <w:rPr>
          <w:rFonts w:ascii="Times New Roman" w:hAnsi="Times New Roman"/>
          <w:sz w:val="28"/>
          <w:szCs w:val="28"/>
          <w:lang w:val="en-US"/>
        </w:rPr>
        <w:t xml:space="preserve"> who</w:t>
      </w:r>
      <w:r w:rsidRPr="00A05D11">
        <w:rPr>
          <w:rFonts w:ascii="Times New Roman" w:hAnsi="Times New Roman"/>
          <w:sz w:val="28"/>
          <w:szCs w:val="28"/>
          <w:lang w:val="en-US"/>
        </w:rPr>
        <w:t xml:space="preserve"> have higher and first category is 65.71%.</w:t>
      </w:r>
    </w:p>
    <w:p w:rsidR="00396A37" w:rsidRDefault="00396A37" w:rsidP="006214EE">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For reliable assessment of</w:t>
      </w:r>
      <w:r w:rsidRPr="00A05D11">
        <w:rPr>
          <w:rFonts w:ascii="Times New Roman" w:hAnsi="Times New Roman"/>
          <w:sz w:val="28"/>
          <w:szCs w:val="28"/>
          <w:lang w:val="en-US"/>
        </w:rPr>
        <w:t xml:space="preserve"> experts</w:t>
      </w:r>
      <w:r>
        <w:rPr>
          <w:rFonts w:ascii="Times New Roman" w:hAnsi="Times New Roman"/>
          <w:sz w:val="28"/>
          <w:szCs w:val="28"/>
          <w:lang w:val="en-US"/>
        </w:rPr>
        <w:t xml:space="preserve"> competence</w:t>
      </w:r>
      <w:r w:rsidRPr="00A05D11">
        <w:rPr>
          <w:rFonts w:ascii="Times New Roman" w:hAnsi="Times New Roman"/>
          <w:sz w:val="28"/>
          <w:szCs w:val="28"/>
          <w:lang w:val="en-US"/>
        </w:rPr>
        <w:t xml:space="preserve"> was calculated the following factors [2, 4]</w:t>
      </w:r>
      <w:r>
        <w:rPr>
          <w:rFonts w:ascii="Times New Roman" w:hAnsi="Times New Roman"/>
          <w:sz w:val="28"/>
          <w:szCs w:val="28"/>
          <w:lang w:val="en-US"/>
        </w:rPr>
        <w:t>:</w:t>
      </w:r>
    </w:p>
    <w:p w:rsidR="00396A37" w:rsidRPr="000451FF" w:rsidRDefault="00396A37" w:rsidP="006214EE">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w:t>
      </w:r>
      <w:r>
        <w:rPr>
          <w:rFonts w:ascii="Times New Roman" w:hAnsi="Times New Roman"/>
          <w:sz w:val="28"/>
          <w:szCs w:val="28"/>
          <w:vertAlign w:val="subscript"/>
          <w:lang w:val="en-US"/>
        </w:rPr>
        <w:t>u</w:t>
      </w:r>
      <w:r w:rsidRPr="000451FF">
        <w:rPr>
          <w:rFonts w:ascii="Times New Roman" w:hAnsi="Times New Roman"/>
          <w:sz w:val="28"/>
          <w:szCs w:val="28"/>
          <w:vertAlign w:val="subscript"/>
          <w:lang w:val="en-US"/>
        </w:rPr>
        <w:t xml:space="preserve"> </w:t>
      </w:r>
      <w:r w:rsidRPr="000451FF">
        <w:rPr>
          <w:rFonts w:ascii="Times New Roman" w:hAnsi="Times New Roman"/>
          <w:sz w:val="28"/>
          <w:szCs w:val="28"/>
          <w:lang w:val="en-US"/>
        </w:rPr>
        <w:t>= 2 (</w:t>
      </w:r>
      <w:r w:rsidRPr="00E04D93">
        <w:rPr>
          <w:rFonts w:ascii="Times New Roman" w:hAnsi="Times New Roman"/>
          <w:sz w:val="28"/>
          <w:szCs w:val="28"/>
        </w:rPr>
        <w:t>А</w:t>
      </w:r>
      <w:r w:rsidRPr="000451FF">
        <w:rPr>
          <w:rFonts w:ascii="Times New Roman" w:hAnsi="Times New Roman"/>
          <w:sz w:val="28"/>
          <w:szCs w:val="28"/>
          <w:lang w:val="en-US"/>
        </w:rPr>
        <w:t xml:space="preserve"> + </w:t>
      </w:r>
      <w:r w:rsidRPr="00E04D93">
        <w:rPr>
          <w:rFonts w:ascii="Times New Roman" w:hAnsi="Times New Roman"/>
          <w:sz w:val="28"/>
          <w:szCs w:val="28"/>
        </w:rPr>
        <w:t>В</w:t>
      </w:r>
      <w:r w:rsidRPr="000451FF">
        <w:rPr>
          <w:rFonts w:ascii="Times New Roman" w:hAnsi="Times New Roman"/>
          <w:sz w:val="28"/>
          <w:szCs w:val="28"/>
          <w:lang w:val="en-US"/>
        </w:rPr>
        <w:t xml:space="preserve">) / </w:t>
      </w:r>
      <w:r w:rsidRPr="00E04D93">
        <w:rPr>
          <w:rFonts w:ascii="Times New Roman" w:hAnsi="Times New Roman"/>
          <w:sz w:val="28"/>
          <w:szCs w:val="28"/>
          <w:lang w:val="en-US"/>
        </w:rPr>
        <w:t>N</w:t>
      </w:r>
      <w:r w:rsidRPr="000451FF">
        <w:rPr>
          <w:rFonts w:ascii="Times New Roman" w:hAnsi="Times New Roman"/>
          <w:sz w:val="28"/>
          <w:szCs w:val="28"/>
          <w:lang w:val="en-US"/>
        </w:rPr>
        <w:t xml:space="preserve">                                                                  (1)</w:t>
      </w:r>
    </w:p>
    <w:p w:rsidR="00396A37" w:rsidRDefault="00396A37" w:rsidP="006214EE">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where, C</w:t>
      </w:r>
      <w:r>
        <w:rPr>
          <w:rFonts w:ascii="Times New Roman" w:hAnsi="Times New Roman"/>
          <w:sz w:val="28"/>
          <w:szCs w:val="28"/>
          <w:vertAlign w:val="subscript"/>
          <w:lang w:val="en-US"/>
        </w:rPr>
        <w:t>u</w:t>
      </w:r>
      <w:r>
        <w:rPr>
          <w:rFonts w:ascii="Times New Roman" w:hAnsi="Times New Roman"/>
          <w:sz w:val="28"/>
          <w:szCs w:val="28"/>
          <w:lang w:val="en-US"/>
        </w:rPr>
        <w:t xml:space="preserve"> – </w:t>
      </w:r>
      <w:r w:rsidRPr="000451FF">
        <w:rPr>
          <w:rFonts w:ascii="Times New Roman" w:hAnsi="Times New Roman"/>
          <w:sz w:val="28"/>
          <w:szCs w:val="28"/>
          <w:lang w:val="en-US"/>
        </w:rPr>
        <w:t>coefficient of use</w:t>
      </w:r>
      <w:r>
        <w:rPr>
          <w:rFonts w:ascii="Times New Roman" w:hAnsi="Times New Roman"/>
          <w:sz w:val="28"/>
          <w:szCs w:val="28"/>
          <w:lang w:val="en-US"/>
        </w:rPr>
        <w:t xml:space="preserve"> of drugs</w:t>
      </w:r>
      <w:r w:rsidRPr="000451FF">
        <w:rPr>
          <w:rFonts w:ascii="Times New Roman" w:hAnsi="Times New Roman"/>
          <w:sz w:val="28"/>
          <w:szCs w:val="28"/>
          <w:lang w:val="en-US"/>
        </w:rPr>
        <w:t xml:space="preserve"> nomenclature for treatment and prevention of TD;</w:t>
      </w:r>
    </w:p>
    <w:p w:rsidR="00396A37" w:rsidRDefault="00396A37" w:rsidP="006214EE">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A – </w:t>
      </w:r>
      <w:r w:rsidRPr="009E1E0F">
        <w:rPr>
          <w:rFonts w:ascii="Times New Roman" w:hAnsi="Times New Roman"/>
          <w:sz w:val="28"/>
          <w:szCs w:val="28"/>
          <w:lang w:val="en-US"/>
        </w:rPr>
        <w:t>number of drugs that are used often by expert;</w:t>
      </w:r>
    </w:p>
    <w:p w:rsidR="00396A37" w:rsidRDefault="00396A37" w:rsidP="006214EE">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B – </w:t>
      </w:r>
      <w:r w:rsidRPr="009E1E0F">
        <w:rPr>
          <w:rFonts w:ascii="Times New Roman" w:hAnsi="Times New Roman"/>
          <w:sz w:val="28"/>
          <w:szCs w:val="28"/>
          <w:lang w:val="en-US"/>
        </w:rPr>
        <w:t xml:space="preserve">number of drugs that are used </w:t>
      </w:r>
      <w:r>
        <w:rPr>
          <w:rFonts w:ascii="Times New Roman" w:hAnsi="Times New Roman"/>
          <w:sz w:val="28"/>
          <w:szCs w:val="28"/>
          <w:lang w:val="en-US"/>
        </w:rPr>
        <w:t>rarely</w:t>
      </w:r>
      <w:r w:rsidRPr="009E1E0F">
        <w:rPr>
          <w:rFonts w:ascii="Times New Roman" w:hAnsi="Times New Roman"/>
          <w:sz w:val="28"/>
          <w:szCs w:val="28"/>
          <w:lang w:val="en-US"/>
        </w:rPr>
        <w:t xml:space="preserve"> by expert;</w:t>
      </w:r>
    </w:p>
    <w:p w:rsidR="00396A37" w:rsidRDefault="00396A37" w:rsidP="006214EE">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N –</w:t>
      </w:r>
      <w:r w:rsidRPr="009E1E0F">
        <w:rPr>
          <w:rFonts w:ascii="Times New Roman" w:hAnsi="Times New Roman"/>
          <w:sz w:val="28"/>
          <w:szCs w:val="28"/>
          <w:lang w:val="en-US"/>
        </w:rPr>
        <w:t xml:space="preserve"> total number</w:t>
      </w:r>
      <w:r>
        <w:rPr>
          <w:rFonts w:ascii="Times New Roman" w:hAnsi="Times New Roman"/>
          <w:sz w:val="28"/>
          <w:szCs w:val="28"/>
          <w:lang w:val="en-US"/>
        </w:rPr>
        <w:t xml:space="preserve"> of</w:t>
      </w:r>
      <w:r w:rsidRPr="009E1E0F">
        <w:rPr>
          <w:rFonts w:ascii="Times New Roman" w:hAnsi="Times New Roman"/>
          <w:sz w:val="28"/>
          <w:szCs w:val="28"/>
          <w:lang w:val="en-US"/>
        </w:rPr>
        <w:t xml:space="preserve"> drugs for treatment and prevention </w:t>
      </w:r>
      <w:r>
        <w:rPr>
          <w:rFonts w:ascii="Times New Roman" w:hAnsi="Times New Roman"/>
          <w:sz w:val="28"/>
          <w:szCs w:val="28"/>
          <w:lang w:val="en-US"/>
        </w:rPr>
        <w:t>of TD</w:t>
      </w:r>
      <w:r w:rsidRPr="009E1E0F">
        <w:rPr>
          <w:rFonts w:ascii="Times New Roman" w:hAnsi="Times New Roman"/>
          <w:sz w:val="28"/>
          <w:szCs w:val="28"/>
          <w:lang w:val="en-US"/>
        </w:rPr>
        <w:t>.</w:t>
      </w:r>
    </w:p>
    <w:p w:rsidR="00396A37" w:rsidRDefault="00396A37" w:rsidP="006214EE">
      <w:pPr>
        <w:spacing w:after="0" w:line="360" w:lineRule="auto"/>
        <w:ind w:firstLine="709"/>
        <w:jc w:val="both"/>
        <w:rPr>
          <w:rFonts w:ascii="Times New Roman" w:hAnsi="Times New Roman"/>
          <w:sz w:val="28"/>
          <w:szCs w:val="28"/>
          <w:lang w:val="en-US"/>
        </w:rPr>
      </w:pPr>
      <w:r w:rsidRPr="009E1E0F">
        <w:rPr>
          <w:rFonts w:ascii="Times New Roman" w:hAnsi="Times New Roman"/>
          <w:sz w:val="28"/>
          <w:szCs w:val="28"/>
          <w:lang w:val="en-US"/>
        </w:rPr>
        <w:t xml:space="preserve">The coefficient </w:t>
      </w:r>
      <w:r>
        <w:rPr>
          <w:rFonts w:ascii="Times New Roman" w:hAnsi="Times New Roman"/>
          <w:sz w:val="28"/>
          <w:szCs w:val="28"/>
          <w:lang w:val="en-US"/>
        </w:rPr>
        <w:t xml:space="preserve">of </w:t>
      </w:r>
      <w:r w:rsidRPr="009E1E0F">
        <w:rPr>
          <w:rFonts w:ascii="Times New Roman" w:hAnsi="Times New Roman"/>
          <w:sz w:val="28"/>
          <w:szCs w:val="28"/>
          <w:lang w:val="en-US"/>
        </w:rPr>
        <w:t>acquired experience</w:t>
      </w:r>
      <w:r>
        <w:rPr>
          <w:rFonts w:ascii="Times New Roman" w:hAnsi="Times New Roman"/>
          <w:sz w:val="28"/>
          <w:szCs w:val="28"/>
          <w:lang w:val="en-US"/>
        </w:rPr>
        <w:t xml:space="preserve"> C</w:t>
      </w:r>
      <w:r>
        <w:rPr>
          <w:rFonts w:ascii="Times New Roman" w:hAnsi="Times New Roman"/>
          <w:sz w:val="28"/>
          <w:szCs w:val="28"/>
          <w:vertAlign w:val="subscript"/>
          <w:lang w:val="en-US"/>
        </w:rPr>
        <w:t>e</w:t>
      </w:r>
      <w:r w:rsidRPr="009E1E0F">
        <w:rPr>
          <w:rFonts w:ascii="Times New Roman" w:hAnsi="Times New Roman"/>
          <w:sz w:val="28"/>
          <w:szCs w:val="28"/>
          <w:lang w:val="en-US"/>
        </w:rPr>
        <w:t xml:space="preserve"> depends o</w:t>
      </w:r>
      <w:r>
        <w:rPr>
          <w:rFonts w:ascii="Times New Roman" w:hAnsi="Times New Roman"/>
          <w:sz w:val="28"/>
          <w:szCs w:val="28"/>
          <w:lang w:val="en-US"/>
        </w:rPr>
        <w:t xml:space="preserve">n seniority of </w:t>
      </w:r>
      <w:r w:rsidRPr="009E1E0F">
        <w:rPr>
          <w:rFonts w:ascii="Times New Roman" w:hAnsi="Times New Roman"/>
          <w:sz w:val="28"/>
          <w:szCs w:val="28"/>
          <w:lang w:val="en-US"/>
        </w:rPr>
        <w:t>doctor:</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u</w:t>
      </w:r>
      <w:r w:rsidRPr="00FF00EA">
        <w:rPr>
          <w:rFonts w:ascii="Times New Roman" w:hAnsi="Times New Roman"/>
          <w:sz w:val="28"/>
          <w:szCs w:val="28"/>
          <w:lang w:val="en-US"/>
        </w:rPr>
        <w:t>p to 3 years</w:t>
      </w:r>
      <w:r>
        <w:rPr>
          <w:rFonts w:ascii="Times New Roman" w:hAnsi="Times New Roman"/>
          <w:sz w:val="28"/>
          <w:szCs w:val="28"/>
          <w:lang w:val="en-US"/>
        </w:rPr>
        <w:t xml:space="preserve"> of experience</w:t>
      </w:r>
      <w:r w:rsidRPr="00FF00EA">
        <w:rPr>
          <w:rFonts w:ascii="Times New Roman" w:hAnsi="Times New Roman"/>
          <w:sz w:val="28"/>
          <w:szCs w:val="28"/>
          <w:lang w:val="en-US"/>
        </w:rPr>
        <w:t xml:space="preserve"> </w:t>
      </w:r>
      <w:r>
        <w:rPr>
          <w:rFonts w:ascii="Times New Roman" w:hAnsi="Times New Roman"/>
          <w:sz w:val="28"/>
          <w:szCs w:val="28"/>
          <w:lang w:val="en-US"/>
        </w:rPr>
        <w:t>– C</w:t>
      </w:r>
      <w:r>
        <w:rPr>
          <w:rFonts w:ascii="Times New Roman" w:hAnsi="Times New Roman"/>
          <w:sz w:val="28"/>
          <w:szCs w:val="28"/>
          <w:vertAlign w:val="subscript"/>
          <w:lang w:val="en-US"/>
        </w:rPr>
        <w:t xml:space="preserve">e </w:t>
      </w:r>
      <w:r w:rsidRPr="00FF00EA">
        <w:rPr>
          <w:rFonts w:ascii="Times New Roman" w:hAnsi="Times New Roman"/>
          <w:sz w:val="28"/>
          <w:szCs w:val="28"/>
          <w:lang w:val="en-US"/>
        </w:rPr>
        <w:t>= 0.1;</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3 to 5 years of experience – C</w:t>
      </w:r>
      <w:r>
        <w:rPr>
          <w:rFonts w:ascii="Times New Roman" w:hAnsi="Times New Roman"/>
          <w:sz w:val="28"/>
          <w:szCs w:val="28"/>
          <w:vertAlign w:val="subscript"/>
          <w:lang w:val="en-US"/>
        </w:rPr>
        <w:t xml:space="preserve">e </w:t>
      </w:r>
      <w:r>
        <w:rPr>
          <w:rFonts w:ascii="Times New Roman" w:hAnsi="Times New Roman"/>
          <w:sz w:val="28"/>
          <w:szCs w:val="28"/>
          <w:lang w:val="en-US"/>
        </w:rPr>
        <w:t>= 0.3</w:t>
      </w:r>
      <w:r w:rsidRPr="00FF00EA">
        <w:rPr>
          <w:rFonts w:ascii="Times New Roman" w:hAnsi="Times New Roman"/>
          <w:sz w:val="28"/>
          <w:szCs w:val="28"/>
          <w:lang w:val="en-US"/>
        </w:rPr>
        <w:t>;</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5 to 10 years of experience – C</w:t>
      </w:r>
      <w:r>
        <w:rPr>
          <w:rFonts w:ascii="Times New Roman" w:hAnsi="Times New Roman"/>
          <w:sz w:val="28"/>
          <w:szCs w:val="28"/>
          <w:vertAlign w:val="subscript"/>
          <w:lang w:val="en-US"/>
        </w:rPr>
        <w:t xml:space="preserve">e </w:t>
      </w:r>
      <w:r>
        <w:rPr>
          <w:rFonts w:ascii="Times New Roman" w:hAnsi="Times New Roman"/>
          <w:sz w:val="28"/>
          <w:szCs w:val="28"/>
          <w:lang w:val="en-US"/>
        </w:rPr>
        <w:t>= 0.5</w:t>
      </w:r>
      <w:r w:rsidRPr="00FF00EA">
        <w:rPr>
          <w:rFonts w:ascii="Times New Roman" w:hAnsi="Times New Roman"/>
          <w:sz w:val="28"/>
          <w:szCs w:val="28"/>
          <w:lang w:val="en-US"/>
        </w:rPr>
        <w:t>;</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10 to 15 years of experience – C</w:t>
      </w:r>
      <w:r>
        <w:rPr>
          <w:rFonts w:ascii="Times New Roman" w:hAnsi="Times New Roman"/>
          <w:sz w:val="28"/>
          <w:szCs w:val="28"/>
          <w:vertAlign w:val="subscript"/>
          <w:lang w:val="en-US"/>
        </w:rPr>
        <w:t xml:space="preserve">e </w:t>
      </w:r>
      <w:r>
        <w:rPr>
          <w:rFonts w:ascii="Times New Roman" w:hAnsi="Times New Roman"/>
          <w:sz w:val="28"/>
          <w:szCs w:val="28"/>
          <w:lang w:val="en-US"/>
        </w:rPr>
        <w:t>= 0.8</w:t>
      </w:r>
      <w:r w:rsidRPr="00FF00EA">
        <w:rPr>
          <w:rFonts w:ascii="Times New Roman" w:hAnsi="Times New Roman"/>
          <w:sz w:val="28"/>
          <w:szCs w:val="28"/>
          <w:lang w:val="en-US"/>
        </w:rPr>
        <w:t>;</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over 15 years of experience – C</w:t>
      </w:r>
      <w:r>
        <w:rPr>
          <w:rFonts w:ascii="Times New Roman" w:hAnsi="Times New Roman"/>
          <w:sz w:val="28"/>
          <w:szCs w:val="28"/>
          <w:vertAlign w:val="subscript"/>
          <w:lang w:val="en-US"/>
        </w:rPr>
        <w:t xml:space="preserve">e </w:t>
      </w:r>
      <w:r>
        <w:rPr>
          <w:rFonts w:ascii="Times New Roman" w:hAnsi="Times New Roman"/>
          <w:sz w:val="28"/>
          <w:szCs w:val="28"/>
          <w:lang w:val="en-US"/>
        </w:rPr>
        <w:t>= 1.0.</w:t>
      </w:r>
    </w:p>
    <w:p w:rsidR="00396A37" w:rsidRDefault="00396A37" w:rsidP="006214EE">
      <w:pPr>
        <w:spacing w:after="0" w:line="360" w:lineRule="auto"/>
        <w:ind w:firstLine="709"/>
        <w:jc w:val="both"/>
        <w:rPr>
          <w:rFonts w:ascii="Times New Roman" w:hAnsi="Times New Roman"/>
          <w:sz w:val="28"/>
          <w:szCs w:val="28"/>
          <w:lang w:val="en-US"/>
        </w:rPr>
      </w:pPr>
      <w:r w:rsidRPr="00FF00EA">
        <w:rPr>
          <w:rFonts w:ascii="Times New Roman" w:hAnsi="Times New Roman"/>
          <w:sz w:val="28"/>
          <w:szCs w:val="28"/>
          <w:lang w:val="en-US"/>
        </w:rPr>
        <w:t>Coeffi</w:t>
      </w:r>
      <w:r>
        <w:rPr>
          <w:rFonts w:ascii="Times New Roman" w:hAnsi="Times New Roman"/>
          <w:sz w:val="28"/>
          <w:szCs w:val="28"/>
          <w:lang w:val="en-US"/>
        </w:rPr>
        <w:t>cient of qualification level C</w:t>
      </w:r>
      <w:r>
        <w:rPr>
          <w:rFonts w:ascii="Times New Roman" w:hAnsi="Times New Roman"/>
          <w:sz w:val="28"/>
          <w:szCs w:val="28"/>
          <w:vertAlign w:val="subscript"/>
          <w:lang w:val="en-US"/>
        </w:rPr>
        <w:t>ql</w:t>
      </w:r>
      <w:r w:rsidRPr="00FF00EA">
        <w:rPr>
          <w:rFonts w:ascii="Times New Roman" w:hAnsi="Times New Roman"/>
          <w:sz w:val="28"/>
          <w:szCs w:val="28"/>
          <w:lang w:val="en-US"/>
        </w:rPr>
        <w:t xml:space="preserve"> depends on availability of doctor's qualification category:</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second category – C</w:t>
      </w:r>
      <w:r>
        <w:rPr>
          <w:rFonts w:ascii="Times New Roman" w:hAnsi="Times New Roman"/>
          <w:sz w:val="28"/>
          <w:szCs w:val="28"/>
          <w:vertAlign w:val="subscript"/>
          <w:lang w:val="en-US"/>
        </w:rPr>
        <w:t>ql</w:t>
      </w:r>
      <w:r>
        <w:rPr>
          <w:rFonts w:ascii="Times New Roman" w:hAnsi="Times New Roman"/>
          <w:sz w:val="28"/>
          <w:szCs w:val="28"/>
          <w:lang w:val="en-US"/>
        </w:rPr>
        <w:t xml:space="preserve"> = 0.1;</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first category – C</w:t>
      </w:r>
      <w:r>
        <w:rPr>
          <w:rFonts w:ascii="Times New Roman" w:hAnsi="Times New Roman"/>
          <w:sz w:val="28"/>
          <w:szCs w:val="28"/>
          <w:vertAlign w:val="subscript"/>
          <w:lang w:val="en-US"/>
        </w:rPr>
        <w:t>ql</w:t>
      </w:r>
      <w:r>
        <w:rPr>
          <w:rFonts w:ascii="Times New Roman" w:hAnsi="Times New Roman"/>
          <w:sz w:val="28"/>
          <w:szCs w:val="28"/>
          <w:lang w:val="en-US"/>
        </w:rPr>
        <w:t xml:space="preserve"> = 0.2;</w:t>
      </w:r>
    </w:p>
    <w:p w:rsidR="00396A37" w:rsidRDefault="00396A37" w:rsidP="006214EE">
      <w:pPr>
        <w:pStyle w:val="ListParagraph"/>
        <w:numPr>
          <w:ilvl w:val="0"/>
          <w:numId w:val="1"/>
        </w:numPr>
        <w:spacing w:after="0" w:line="360" w:lineRule="auto"/>
        <w:jc w:val="both"/>
        <w:rPr>
          <w:rFonts w:ascii="Times New Roman" w:hAnsi="Times New Roman"/>
          <w:sz w:val="28"/>
          <w:szCs w:val="28"/>
          <w:lang w:val="en-US"/>
        </w:rPr>
      </w:pPr>
      <w:r>
        <w:rPr>
          <w:rFonts w:ascii="Times New Roman" w:hAnsi="Times New Roman"/>
          <w:sz w:val="28"/>
          <w:szCs w:val="28"/>
          <w:lang w:val="en-US"/>
        </w:rPr>
        <w:t>high category – C</w:t>
      </w:r>
      <w:r>
        <w:rPr>
          <w:rFonts w:ascii="Times New Roman" w:hAnsi="Times New Roman"/>
          <w:sz w:val="28"/>
          <w:szCs w:val="28"/>
          <w:vertAlign w:val="subscript"/>
          <w:lang w:val="en-US"/>
        </w:rPr>
        <w:t>ql</w:t>
      </w:r>
      <w:r>
        <w:rPr>
          <w:rFonts w:ascii="Times New Roman" w:hAnsi="Times New Roman"/>
          <w:sz w:val="28"/>
          <w:szCs w:val="28"/>
          <w:lang w:val="en-US"/>
        </w:rPr>
        <w:t xml:space="preserve"> = 0.3.</w:t>
      </w:r>
    </w:p>
    <w:p w:rsidR="00396A37" w:rsidRDefault="00396A37" w:rsidP="006214EE">
      <w:pPr>
        <w:spacing w:after="0" w:line="360" w:lineRule="auto"/>
        <w:ind w:firstLine="709"/>
        <w:jc w:val="both"/>
        <w:rPr>
          <w:rFonts w:ascii="Times New Roman" w:hAnsi="Times New Roman"/>
          <w:sz w:val="28"/>
          <w:szCs w:val="28"/>
          <w:lang w:val="en-US"/>
        </w:rPr>
      </w:pPr>
      <w:r w:rsidRPr="00FF00EA">
        <w:rPr>
          <w:rFonts w:ascii="Times New Roman" w:hAnsi="Times New Roman"/>
          <w:sz w:val="28"/>
          <w:szCs w:val="28"/>
          <w:lang w:val="en-US"/>
        </w:rPr>
        <w:t>Overall coefficient of competence</w:t>
      </w:r>
      <w:r>
        <w:rPr>
          <w:rFonts w:ascii="Times New Roman" w:hAnsi="Times New Roman"/>
          <w:sz w:val="28"/>
          <w:szCs w:val="28"/>
          <w:lang w:val="en-US"/>
        </w:rPr>
        <w:t xml:space="preserve"> C</w:t>
      </w:r>
      <w:r>
        <w:rPr>
          <w:rFonts w:ascii="Times New Roman" w:hAnsi="Times New Roman"/>
          <w:sz w:val="28"/>
          <w:szCs w:val="28"/>
          <w:vertAlign w:val="subscript"/>
          <w:lang w:val="en-US"/>
        </w:rPr>
        <w:t>c</w:t>
      </w:r>
      <w:r w:rsidRPr="00FF00EA">
        <w:rPr>
          <w:rFonts w:ascii="Times New Roman" w:hAnsi="Times New Roman"/>
          <w:sz w:val="28"/>
          <w:szCs w:val="28"/>
          <w:lang w:val="en-US"/>
        </w:rPr>
        <w:t xml:space="preserve"> is calculated by adding all coefficients:</w:t>
      </w:r>
    </w:p>
    <w:p w:rsidR="00396A37" w:rsidRDefault="00396A37" w:rsidP="006214EE">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w:t>
      </w:r>
      <w:r>
        <w:rPr>
          <w:rFonts w:ascii="Times New Roman" w:hAnsi="Times New Roman"/>
          <w:sz w:val="28"/>
          <w:szCs w:val="28"/>
          <w:vertAlign w:val="subscript"/>
          <w:lang w:val="en-US"/>
        </w:rPr>
        <w:t>c</w:t>
      </w:r>
      <w:r>
        <w:rPr>
          <w:rFonts w:ascii="Times New Roman" w:hAnsi="Times New Roman"/>
          <w:sz w:val="28"/>
          <w:szCs w:val="28"/>
          <w:lang w:val="en-US"/>
        </w:rPr>
        <w:t xml:space="preserve"> = C</w:t>
      </w:r>
      <w:r>
        <w:rPr>
          <w:rFonts w:ascii="Times New Roman" w:hAnsi="Times New Roman"/>
          <w:sz w:val="28"/>
          <w:szCs w:val="28"/>
          <w:vertAlign w:val="subscript"/>
          <w:lang w:val="en-US"/>
        </w:rPr>
        <w:t>u</w:t>
      </w:r>
      <w:r>
        <w:rPr>
          <w:rFonts w:ascii="Times New Roman" w:hAnsi="Times New Roman"/>
          <w:sz w:val="28"/>
          <w:szCs w:val="28"/>
          <w:lang w:val="en-US"/>
        </w:rPr>
        <w:t xml:space="preserve"> + C</w:t>
      </w:r>
      <w:r>
        <w:rPr>
          <w:rFonts w:ascii="Times New Roman" w:hAnsi="Times New Roman"/>
          <w:sz w:val="28"/>
          <w:szCs w:val="28"/>
          <w:vertAlign w:val="subscript"/>
          <w:lang w:val="en-US"/>
        </w:rPr>
        <w:t>e</w:t>
      </w:r>
      <w:r>
        <w:rPr>
          <w:rFonts w:ascii="Times New Roman" w:hAnsi="Times New Roman"/>
          <w:sz w:val="28"/>
          <w:szCs w:val="28"/>
          <w:lang w:val="en-US"/>
        </w:rPr>
        <w:t xml:space="preserve"> + C</w:t>
      </w:r>
      <w:r>
        <w:rPr>
          <w:rFonts w:ascii="Times New Roman" w:hAnsi="Times New Roman"/>
          <w:sz w:val="28"/>
          <w:szCs w:val="28"/>
          <w:vertAlign w:val="subscript"/>
          <w:lang w:val="en-US"/>
        </w:rPr>
        <w:t xml:space="preserve">ql                                                                                                                   </w:t>
      </w:r>
      <w:r>
        <w:rPr>
          <w:rFonts w:ascii="Times New Roman" w:hAnsi="Times New Roman"/>
          <w:sz w:val="28"/>
          <w:szCs w:val="28"/>
          <w:lang w:val="en-US"/>
        </w:rPr>
        <w:t>(2)</w:t>
      </w:r>
    </w:p>
    <w:p w:rsidR="00396A37" w:rsidRPr="00BD7C31" w:rsidRDefault="00396A37" w:rsidP="006214EE">
      <w:pPr>
        <w:spacing w:after="0" w:line="360" w:lineRule="auto"/>
        <w:ind w:firstLine="709"/>
        <w:jc w:val="both"/>
        <w:rPr>
          <w:rFonts w:ascii="Times New Roman" w:hAnsi="Times New Roman"/>
          <w:sz w:val="28"/>
          <w:szCs w:val="28"/>
          <w:lang w:val="en-US"/>
        </w:rPr>
      </w:pPr>
      <w:r w:rsidRPr="00BD7C31">
        <w:rPr>
          <w:rFonts w:ascii="Times New Roman" w:hAnsi="Times New Roman"/>
          <w:sz w:val="28"/>
          <w:szCs w:val="28"/>
          <w:lang w:val="en-US"/>
        </w:rPr>
        <w:t>Thus, the coefficient of expert’s competence depends on seniority, availability of qualification category and level of use of nomenclature of drugs.</w:t>
      </w:r>
    </w:p>
    <w:p w:rsidR="00396A37" w:rsidRDefault="00396A37" w:rsidP="006214EE">
      <w:pPr>
        <w:spacing w:after="0" w:line="360" w:lineRule="auto"/>
        <w:ind w:firstLine="709"/>
        <w:jc w:val="both"/>
        <w:rPr>
          <w:rFonts w:ascii="Times New Roman" w:hAnsi="Times New Roman"/>
          <w:sz w:val="28"/>
          <w:szCs w:val="28"/>
          <w:lang w:val="en-US"/>
        </w:rPr>
      </w:pPr>
      <w:r w:rsidRPr="00BD7C31">
        <w:rPr>
          <w:rFonts w:ascii="Times New Roman" w:hAnsi="Times New Roman"/>
          <w:sz w:val="28"/>
          <w:szCs w:val="28"/>
          <w:lang w:val="en-US"/>
        </w:rPr>
        <w:t xml:space="preserve">Quantitative assessment of competence </w:t>
      </w:r>
      <w:r>
        <w:rPr>
          <w:rFonts w:ascii="Times New Roman" w:hAnsi="Times New Roman"/>
          <w:sz w:val="28"/>
          <w:szCs w:val="28"/>
          <w:lang w:val="en-US"/>
        </w:rPr>
        <w:t xml:space="preserve">was determined according to </w:t>
      </w:r>
      <w:r w:rsidRPr="00BD7C31">
        <w:rPr>
          <w:rFonts w:ascii="Times New Roman" w:hAnsi="Times New Roman"/>
          <w:sz w:val="28"/>
          <w:szCs w:val="28"/>
          <w:lang w:val="en-US"/>
        </w:rPr>
        <w:t>following scale:</w:t>
      </w:r>
    </w:p>
    <w:p w:rsidR="00396A37" w:rsidRPr="00BD7C31" w:rsidRDefault="00396A37" w:rsidP="006214EE">
      <w:pPr>
        <w:spacing w:after="0" w:line="360" w:lineRule="auto"/>
        <w:ind w:firstLine="709"/>
        <w:jc w:val="both"/>
        <w:rPr>
          <w:rFonts w:ascii="Times New Roman" w:hAnsi="Times New Roman"/>
          <w:sz w:val="28"/>
          <w:szCs w:val="28"/>
          <w:lang w:val="uk-UA"/>
        </w:rPr>
      </w:pPr>
      <w:r>
        <w:rPr>
          <w:rFonts w:ascii="Times New Roman" w:hAnsi="Times New Roman"/>
          <w:sz w:val="28"/>
          <w:szCs w:val="28"/>
          <w:lang w:val="en-US"/>
        </w:rPr>
        <w:t>C</w:t>
      </w:r>
      <w:r>
        <w:rPr>
          <w:rFonts w:ascii="Times New Roman" w:hAnsi="Times New Roman"/>
          <w:sz w:val="28"/>
          <w:szCs w:val="28"/>
          <w:vertAlign w:val="subscript"/>
          <w:lang w:val="en-US"/>
        </w:rPr>
        <w:t>c</w:t>
      </w:r>
      <w:r w:rsidRPr="00BD7C31">
        <w:rPr>
          <w:rFonts w:ascii="Times New Roman" w:hAnsi="Times New Roman"/>
          <w:sz w:val="28"/>
          <w:szCs w:val="28"/>
          <w:lang w:val="en-US"/>
        </w:rPr>
        <w:t xml:space="preserve"> &lt; 1,5 –</w:t>
      </w:r>
      <w:r>
        <w:rPr>
          <w:rFonts w:ascii="Times New Roman" w:hAnsi="Times New Roman"/>
          <w:sz w:val="28"/>
          <w:szCs w:val="28"/>
          <w:lang w:val="uk-UA"/>
        </w:rPr>
        <w:t xml:space="preserve"> </w:t>
      </w:r>
      <w:r w:rsidRPr="00BD7C31">
        <w:rPr>
          <w:rFonts w:ascii="Times New Roman" w:hAnsi="Times New Roman"/>
          <w:sz w:val="28"/>
          <w:szCs w:val="28"/>
          <w:lang w:val="uk-UA"/>
        </w:rPr>
        <w:t>not enough competent experts;</w:t>
      </w:r>
    </w:p>
    <w:p w:rsidR="00396A37" w:rsidRPr="005F64FE" w:rsidRDefault="00396A37" w:rsidP="006214EE">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w:t>
      </w:r>
      <w:r>
        <w:rPr>
          <w:rFonts w:ascii="Times New Roman" w:hAnsi="Times New Roman"/>
          <w:sz w:val="28"/>
          <w:szCs w:val="28"/>
          <w:vertAlign w:val="subscript"/>
          <w:lang w:val="en-US"/>
        </w:rPr>
        <w:t>c</w:t>
      </w:r>
      <w:r>
        <w:rPr>
          <w:rFonts w:ascii="Times New Roman" w:hAnsi="Times New Roman"/>
          <w:sz w:val="28"/>
          <w:szCs w:val="28"/>
          <w:lang w:val="en-US"/>
        </w:rPr>
        <w:t xml:space="preserve"> from 1.5 to 2 – competent experts;</w:t>
      </w:r>
    </w:p>
    <w:p w:rsidR="00396A37" w:rsidRDefault="00396A37" w:rsidP="006214EE">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w:t>
      </w:r>
      <w:r>
        <w:rPr>
          <w:rFonts w:ascii="Times New Roman" w:hAnsi="Times New Roman"/>
          <w:sz w:val="28"/>
          <w:szCs w:val="28"/>
          <w:vertAlign w:val="subscript"/>
          <w:lang w:val="en-US"/>
        </w:rPr>
        <w:t>c</w:t>
      </w:r>
      <w:r>
        <w:rPr>
          <w:rFonts w:ascii="Times New Roman" w:hAnsi="Times New Roman"/>
          <w:sz w:val="28"/>
          <w:szCs w:val="28"/>
          <w:lang w:val="en-US"/>
        </w:rPr>
        <w:t xml:space="preserve"> </w:t>
      </w:r>
      <w:r w:rsidRPr="002400B2">
        <w:rPr>
          <w:rFonts w:ascii="Times New Roman" w:hAnsi="Times New Roman"/>
          <w:sz w:val="28"/>
          <w:szCs w:val="28"/>
          <w:lang w:val="en-US"/>
        </w:rPr>
        <w:t>&gt; 2 –</w:t>
      </w:r>
      <w:r>
        <w:rPr>
          <w:rFonts w:ascii="Times New Roman" w:hAnsi="Times New Roman"/>
          <w:sz w:val="28"/>
          <w:szCs w:val="28"/>
          <w:lang w:val="en-US"/>
        </w:rPr>
        <w:t xml:space="preserve"> </w:t>
      </w:r>
      <w:r w:rsidRPr="005F64FE">
        <w:rPr>
          <w:rFonts w:ascii="Times New Roman" w:hAnsi="Times New Roman"/>
          <w:sz w:val="28"/>
          <w:szCs w:val="28"/>
          <w:lang w:val="en-US"/>
        </w:rPr>
        <w:t>highly co</w:t>
      </w:r>
      <w:r>
        <w:rPr>
          <w:rFonts w:ascii="Times New Roman" w:hAnsi="Times New Roman"/>
          <w:sz w:val="28"/>
          <w:szCs w:val="28"/>
          <w:lang w:val="en-US"/>
        </w:rPr>
        <w:t>mpetent experts.</w:t>
      </w:r>
    </w:p>
    <w:p w:rsidR="00396A37" w:rsidRDefault="00396A37" w:rsidP="006214EE">
      <w:pPr>
        <w:spacing w:after="0" w:line="360" w:lineRule="auto"/>
        <w:ind w:firstLine="709"/>
        <w:jc w:val="both"/>
        <w:rPr>
          <w:rFonts w:ascii="Times New Roman" w:hAnsi="Times New Roman"/>
          <w:sz w:val="28"/>
          <w:szCs w:val="28"/>
          <w:lang w:val="en-US"/>
        </w:rPr>
      </w:pPr>
      <w:r w:rsidRPr="005F64FE">
        <w:rPr>
          <w:rFonts w:ascii="Times New Roman" w:hAnsi="Times New Roman"/>
          <w:sz w:val="28"/>
          <w:szCs w:val="28"/>
          <w:lang w:val="en-US"/>
        </w:rPr>
        <w:t>Calculated values of competence coefficients of experts are shown in Table 2.</w:t>
      </w:r>
    </w:p>
    <w:p w:rsidR="00396A37" w:rsidRDefault="00396A37" w:rsidP="00E62FC1">
      <w:pPr>
        <w:spacing w:after="0" w:line="360" w:lineRule="auto"/>
        <w:ind w:firstLine="709"/>
        <w:jc w:val="right"/>
        <w:rPr>
          <w:rFonts w:ascii="Times New Roman" w:hAnsi="Times New Roman"/>
          <w:sz w:val="28"/>
          <w:szCs w:val="28"/>
          <w:lang w:val="en-US"/>
        </w:rPr>
      </w:pPr>
      <w:r>
        <w:rPr>
          <w:rFonts w:ascii="Times New Roman" w:hAnsi="Times New Roman"/>
          <w:sz w:val="28"/>
          <w:szCs w:val="28"/>
          <w:lang w:val="en-US"/>
        </w:rPr>
        <w:t>Table 2</w:t>
      </w:r>
    </w:p>
    <w:p w:rsidR="00396A37" w:rsidRDefault="00396A37" w:rsidP="00E62FC1">
      <w:pPr>
        <w:spacing w:after="0" w:line="360" w:lineRule="auto"/>
        <w:ind w:firstLine="709"/>
        <w:jc w:val="center"/>
        <w:rPr>
          <w:rFonts w:ascii="Times New Roman" w:hAnsi="Times New Roman"/>
          <w:b/>
          <w:sz w:val="28"/>
          <w:szCs w:val="28"/>
          <w:lang w:val="en-US"/>
        </w:rPr>
      </w:pPr>
      <w:r w:rsidRPr="005F64FE">
        <w:rPr>
          <w:rFonts w:ascii="Times New Roman" w:hAnsi="Times New Roman"/>
          <w:b/>
          <w:sz w:val="28"/>
          <w:szCs w:val="28"/>
          <w:lang w:val="en-US"/>
        </w:rPr>
        <w:t>Results of analysis and assessment of endocrinologists’ 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5"/>
        <w:gridCol w:w="2089"/>
        <w:gridCol w:w="2126"/>
        <w:gridCol w:w="1985"/>
        <w:gridCol w:w="1950"/>
      </w:tblGrid>
      <w:tr w:rsidR="00396A37" w:rsidRPr="00282FFD" w:rsidTr="000F5099">
        <w:tc>
          <w:tcPr>
            <w:tcW w:w="1705"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Expert</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uk-UA"/>
              </w:rPr>
              <w:t>С</w:t>
            </w:r>
            <w:r w:rsidRPr="00282FFD">
              <w:rPr>
                <w:rFonts w:ascii="Times New Roman" w:hAnsi="Times New Roman"/>
                <w:sz w:val="28"/>
                <w:szCs w:val="28"/>
                <w:lang w:val="en-US"/>
              </w:rPr>
              <w:t>oefficient of use of drugs nomenclature (C</w:t>
            </w:r>
            <w:r w:rsidRPr="00282FFD">
              <w:rPr>
                <w:rFonts w:ascii="Times New Roman" w:hAnsi="Times New Roman"/>
                <w:sz w:val="28"/>
                <w:szCs w:val="28"/>
                <w:vertAlign w:val="subscript"/>
                <w:lang w:val="en-US"/>
              </w:rPr>
              <w:t>u</w:t>
            </w:r>
            <w:r w:rsidRPr="00282FFD">
              <w:rPr>
                <w:rFonts w:ascii="Times New Roman" w:hAnsi="Times New Roman"/>
                <w:sz w:val="28"/>
                <w:szCs w:val="28"/>
                <w:lang w:val="en-US"/>
              </w:rPr>
              <w:t>)</w:t>
            </w:r>
          </w:p>
        </w:tc>
        <w:tc>
          <w:tcPr>
            <w:tcW w:w="2126"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Coefficient of acquired experience (C</w:t>
            </w:r>
            <w:r w:rsidRPr="00282FFD">
              <w:rPr>
                <w:rFonts w:ascii="Times New Roman" w:hAnsi="Times New Roman"/>
                <w:sz w:val="28"/>
                <w:szCs w:val="28"/>
                <w:vertAlign w:val="subscript"/>
                <w:lang w:val="en-US"/>
              </w:rPr>
              <w:t>e</w:t>
            </w:r>
            <w:r w:rsidRPr="00282FFD">
              <w:rPr>
                <w:rFonts w:ascii="Times New Roman" w:hAnsi="Times New Roman"/>
                <w:sz w:val="28"/>
                <w:szCs w:val="28"/>
                <w:lang w:val="en-US"/>
              </w:rPr>
              <w:t>)</w:t>
            </w:r>
          </w:p>
        </w:tc>
        <w:tc>
          <w:tcPr>
            <w:tcW w:w="1985"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Coefficient of qualification level (C</w:t>
            </w:r>
            <w:r w:rsidRPr="00282FFD">
              <w:rPr>
                <w:rFonts w:ascii="Times New Roman" w:hAnsi="Times New Roman"/>
                <w:sz w:val="28"/>
                <w:szCs w:val="28"/>
                <w:vertAlign w:val="subscript"/>
                <w:lang w:val="en-US"/>
              </w:rPr>
              <w:t>ql</w:t>
            </w:r>
            <w:r w:rsidRPr="00282FFD">
              <w:rPr>
                <w:rFonts w:ascii="Times New Roman" w:hAnsi="Times New Roman"/>
                <w:sz w:val="28"/>
                <w:szCs w:val="28"/>
                <w:lang w:val="en-US"/>
              </w:rPr>
              <w:t>)</w:t>
            </w:r>
          </w:p>
        </w:tc>
        <w:tc>
          <w:tcPr>
            <w:tcW w:w="1950"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lang w:val="en-US"/>
              </w:rPr>
              <w:t xml:space="preserve">Coefficient of competence </w:t>
            </w:r>
            <w:r w:rsidRPr="00282FFD">
              <w:rPr>
                <w:rFonts w:ascii="Times New Roman" w:hAnsi="Times New Roman"/>
                <w:sz w:val="28"/>
                <w:szCs w:val="28"/>
              </w:rPr>
              <w:t>(</w:t>
            </w:r>
            <w:r w:rsidRPr="00282FFD">
              <w:rPr>
                <w:rFonts w:ascii="Times New Roman" w:hAnsi="Times New Roman"/>
                <w:sz w:val="28"/>
                <w:szCs w:val="28"/>
                <w:lang w:val="en-US"/>
              </w:rPr>
              <w:t>C</w:t>
            </w:r>
            <w:r w:rsidRPr="00282FFD">
              <w:rPr>
                <w:rFonts w:ascii="Times New Roman" w:hAnsi="Times New Roman"/>
                <w:sz w:val="28"/>
                <w:szCs w:val="28"/>
                <w:vertAlign w:val="subscript"/>
                <w:lang w:val="en-US"/>
              </w:rPr>
              <w:t>c</w:t>
            </w:r>
            <w:r w:rsidRPr="00282FFD">
              <w:rPr>
                <w:rFonts w:ascii="Times New Roman" w:hAnsi="Times New Roman"/>
                <w:sz w:val="28"/>
                <w:szCs w:val="28"/>
              </w:rPr>
              <w:t>)</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№1</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1,2</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85"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1,5</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№2</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1,0</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0,1</w:t>
            </w:r>
          </w:p>
        </w:tc>
        <w:tc>
          <w:tcPr>
            <w:tcW w:w="1985"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1,1</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№3</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0,5</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1,5</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№4</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0,7</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1,7</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№5</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1,3</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0,8</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0,1</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2,2</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№6</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0,9</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0,8</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0,1</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1,8</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№7</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0,7</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0,8</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0,1</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1,6</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№8</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1,0</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0,5</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0,1</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1,6</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№9</w:t>
            </w:r>
          </w:p>
        </w:tc>
        <w:tc>
          <w:tcPr>
            <w:tcW w:w="2089"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0,5</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0,2</w:t>
            </w:r>
          </w:p>
        </w:tc>
        <w:tc>
          <w:tcPr>
            <w:tcW w:w="1950"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1,7</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№10</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0,9</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0,5</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0,1</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1,5</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№11</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0,9</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0,5</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0,1</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1,5</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№12</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0,3</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0,1</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0,7</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№13</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0,7</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0,1</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0,1</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0,9</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№14</w:t>
            </w:r>
          </w:p>
        </w:tc>
        <w:tc>
          <w:tcPr>
            <w:tcW w:w="2089"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lang w:val="en-US"/>
              </w:rPr>
              <w:t>0,</w:t>
            </w:r>
            <w:r w:rsidRPr="00282FFD">
              <w:rPr>
                <w:rFonts w:ascii="Times New Roman" w:hAnsi="Times New Roman"/>
                <w:sz w:val="28"/>
                <w:szCs w:val="28"/>
              </w:rPr>
              <w:t>5</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0,8</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0,2</w:t>
            </w:r>
          </w:p>
        </w:tc>
        <w:tc>
          <w:tcPr>
            <w:tcW w:w="1950"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lang w:val="en-US"/>
              </w:rPr>
              <w:t>1,</w:t>
            </w:r>
            <w:r w:rsidRPr="00282FFD">
              <w:rPr>
                <w:rFonts w:ascii="Times New Roman" w:hAnsi="Times New Roman"/>
                <w:sz w:val="28"/>
                <w:szCs w:val="28"/>
              </w:rPr>
              <w:t>5</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№15</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0,9</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0,8</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0,2</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1,9</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№16</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1,0</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0,8</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0,2</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2,0</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№17</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0,4</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0,2</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0,9</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№18</w:t>
            </w:r>
          </w:p>
        </w:tc>
        <w:tc>
          <w:tcPr>
            <w:tcW w:w="2089"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0,7</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0,8</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0,2</w:t>
            </w:r>
          </w:p>
        </w:tc>
        <w:tc>
          <w:tcPr>
            <w:tcW w:w="1950"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1,7</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№19</w:t>
            </w:r>
          </w:p>
        </w:tc>
        <w:tc>
          <w:tcPr>
            <w:tcW w:w="2089"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1,6</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№20</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0,4</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0,2</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1,6</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№21</w:t>
            </w:r>
          </w:p>
        </w:tc>
        <w:tc>
          <w:tcPr>
            <w:tcW w:w="2089"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2,3</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№22</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1,1</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0,2</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2,3</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№23</w:t>
            </w:r>
          </w:p>
        </w:tc>
        <w:tc>
          <w:tcPr>
            <w:tcW w:w="2089"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0,4</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0,1</w:t>
            </w:r>
          </w:p>
        </w:tc>
        <w:tc>
          <w:tcPr>
            <w:tcW w:w="1950"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0,8</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№24</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1,3</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2,6</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№25</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0,5</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1,8</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№26</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1,1</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2,4</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№27</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1,3</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2,6</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№28</w:t>
            </w:r>
          </w:p>
        </w:tc>
        <w:tc>
          <w:tcPr>
            <w:tcW w:w="2089"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lang w:val="en-US"/>
              </w:rPr>
              <w:t>0,</w:t>
            </w:r>
            <w:r w:rsidRPr="00282FFD">
              <w:rPr>
                <w:rFonts w:ascii="Times New Roman" w:hAnsi="Times New Roman"/>
                <w:sz w:val="28"/>
                <w:szCs w:val="28"/>
              </w:rPr>
              <w:t>3</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lang w:val="en-US"/>
              </w:rPr>
              <w:t>1,</w:t>
            </w:r>
            <w:r w:rsidRPr="00282FFD">
              <w:rPr>
                <w:rFonts w:ascii="Times New Roman" w:hAnsi="Times New Roman"/>
                <w:sz w:val="28"/>
                <w:szCs w:val="28"/>
              </w:rPr>
              <w:t>6</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№29</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0,3</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1,6</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№30</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1,3</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2,6</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№31</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0,4</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1,7</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№32</w:t>
            </w:r>
          </w:p>
        </w:tc>
        <w:tc>
          <w:tcPr>
            <w:tcW w:w="2089"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lang w:val="en-US"/>
              </w:rPr>
              <w:t>0,</w:t>
            </w:r>
            <w:r w:rsidRPr="00282FFD">
              <w:rPr>
                <w:rFonts w:ascii="Times New Roman" w:hAnsi="Times New Roman"/>
                <w:sz w:val="28"/>
                <w:szCs w:val="28"/>
              </w:rPr>
              <w:t>5</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lang w:val="en-US"/>
              </w:rPr>
              <w:t>1,</w:t>
            </w:r>
            <w:r w:rsidRPr="00282FFD">
              <w:rPr>
                <w:rFonts w:ascii="Times New Roman" w:hAnsi="Times New Roman"/>
                <w:sz w:val="28"/>
                <w:szCs w:val="28"/>
              </w:rPr>
              <w:t>8</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№33</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0,3</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1,6</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№34</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0,2</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1,5</w:t>
            </w:r>
          </w:p>
        </w:tc>
      </w:tr>
      <w:tr w:rsidR="00396A37" w:rsidRPr="00282FFD" w:rsidTr="000F5099">
        <w:tc>
          <w:tcPr>
            <w:tcW w:w="1705" w:type="dxa"/>
          </w:tcPr>
          <w:p w:rsidR="00396A37" w:rsidRPr="00282FFD" w:rsidRDefault="00396A37" w:rsidP="000F5099">
            <w:pPr>
              <w:spacing w:after="0" w:line="360" w:lineRule="auto"/>
              <w:rPr>
                <w:rFonts w:ascii="Times New Roman" w:hAnsi="Times New Roman"/>
                <w:sz w:val="28"/>
                <w:szCs w:val="28"/>
              </w:rPr>
            </w:pPr>
            <w:r w:rsidRPr="00282FFD">
              <w:rPr>
                <w:rFonts w:ascii="Times New Roman" w:hAnsi="Times New Roman"/>
                <w:sz w:val="28"/>
                <w:szCs w:val="28"/>
                <w:lang w:val="en-US"/>
              </w:rPr>
              <w:t>Expert</w:t>
            </w:r>
            <w:r w:rsidRPr="00282FFD">
              <w:rPr>
                <w:rFonts w:ascii="Times New Roman" w:hAnsi="Times New Roman"/>
                <w:sz w:val="28"/>
                <w:szCs w:val="28"/>
              </w:rPr>
              <w:t xml:space="preserve"> №35</w:t>
            </w:r>
          </w:p>
        </w:tc>
        <w:tc>
          <w:tcPr>
            <w:tcW w:w="2089"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0,9</w:t>
            </w:r>
          </w:p>
        </w:tc>
        <w:tc>
          <w:tcPr>
            <w:tcW w:w="2126"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98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0,3</w:t>
            </w:r>
          </w:p>
        </w:tc>
        <w:tc>
          <w:tcPr>
            <w:tcW w:w="1950"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2,2</w:t>
            </w:r>
          </w:p>
        </w:tc>
      </w:tr>
    </w:tbl>
    <w:p w:rsidR="00396A37" w:rsidRDefault="00396A37" w:rsidP="00E62FC1">
      <w:pPr>
        <w:spacing w:after="0" w:line="360" w:lineRule="auto"/>
        <w:ind w:firstLine="709"/>
        <w:jc w:val="both"/>
        <w:rPr>
          <w:rFonts w:ascii="Times New Roman" w:hAnsi="Times New Roman"/>
          <w:sz w:val="28"/>
          <w:szCs w:val="28"/>
          <w:lang w:val="uk-UA"/>
        </w:rPr>
      </w:pPr>
    </w:p>
    <w:p w:rsidR="00396A37" w:rsidRDefault="00396A37" w:rsidP="006214EE">
      <w:pPr>
        <w:spacing w:after="0" w:line="360" w:lineRule="auto"/>
        <w:ind w:firstLine="709"/>
        <w:jc w:val="both"/>
        <w:rPr>
          <w:rFonts w:ascii="Times New Roman" w:hAnsi="Times New Roman"/>
          <w:sz w:val="28"/>
          <w:szCs w:val="28"/>
          <w:lang w:val="en-US"/>
        </w:rPr>
      </w:pPr>
      <w:r w:rsidRPr="00455743">
        <w:rPr>
          <w:rFonts w:ascii="Times New Roman" w:hAnsi="Times New Roman"/>
          <w:sz w:val="28"/>
          <w:szCs w:val="28"/>
          <w:lang w:val="en-US"/>
        </w:rPr>
        <w:t>Based on determinati</w:t>
      </w:r>
      <w:r>
        <w:rPr>
          <w:rFonts w:ascii="Times New Roman" w:hAnsi="Times New Roman"/>
          <w:sz w:val="28"/>
          <w:szCs w:val="28"/>
          <w:lang w:val="en-US"/>
        </w:rPr>
        <w:t>on of coefficient competence (C</w:t>
      </w:r>
      <w:r>
        <w:rPr>
          <w:rFonts w:ascii="Times New Roman" w:hAnsi="Times New Roman"/>
          <w:sz w:val="28"/>
          <w:szCs w:val="28"/>
          <w:vertAlign w:val="subscript"/>
          <w:lang w:val="en-US"/>
        </w:rPr>
        <w:t>c</w:t>
      </w:r>
      <w:r w:rsidRPr="00455743">
        <w:rPr>
          <w:rFonts w:ascii="Times New Roman" w:hAnsi="Times New Roman"/>
          <w:sz w:val="28"/>
          <w:szCs w:val="28"/>
          <w:lang w:val="en-US"/>
        </w:rPr>
        <w:t>) into our formed team of experts were included ques</w:t>
      </w:r>
      <w:r>
        <w:rPr>
          <w:rFonts w:ascii="Times New Roman" w:hAnsi="Times New Roman"/>
          <w:sz w:val="28"/>
          <w:szCs w:val="28"/>
          <w:lang w:val="en-US"/>
        </w:rPr>
        <w:t>tionnaires of 30 specialists (C</w:t>
      </w:r>
      <w:r>
        <w:rPr>
          <w:rFonts w:ascii="Times New Roman" w:hAnsi="Times New Roman"/>
          <w:sz w:val="28"/>
          <w:szCs w:val="28"/>
          <w:vertAlign w:val="subscript"/>
          <w:lang w:val="en-US"/>
        </w:rPr>
        <w:t>c</w:t>
      </w:r>
      <w:r w:rsidRPr="00455743">
        <w:rPr>
          <w:rFonts w:ascii="Times New Roman" w:hAnsi="Times New Roman"/>
          <w:sz w:val="28"/>
          <w:szCs w:val="28"/>
          <w:lang w:val="en-US"/>
        </w:rPr>
        <w:t xml:space="preserve"> ≥ 1,5).</w:t>
      </w:r>
    </w:p>
    <w:p w:rsidR="00396A37" w:rsidRDefault="00396A37" w:rsidP="006214EE">
      <w:pPr>
        <w:spacing w:after="0" w:line="360" w:lineRule="auto"/>
        <w:ind w:firstLine="709"/>
        <w:jc w:val="both"/>
        <w:rPr>
          <w:rFonts w:ascii="Times New Roman" w:hAnsi="Times New Roman"/>
          <w:sz w:val="28"/>
          <w:szCs w:val="28"/>
          <w:lang w:val="en-US"/>
        </w:rPr>
      </w:pPr>
      <w:r w:rsidRPr="003A7F50">
        <w:rPr>
          <w:rFonts w:ascii="Times New Roman" w:hAnsi="Times New Roman"/>
          <w:sz w:val="28"/>
          <w:szCs w:val="28"/>
          <w:lang w:val="en-US"/>
        </w:rPr>
        <w:t xml:space="preserve">The next stage of research was to analyze frequency of drugs </w:t>
      </w:r>
      <w:r>
        <w:rPr>
          <w:rFonts w:ascii="Times New Roman" w:hAnsi="Times New Roman"/>
          <w:sz w:val="28"/>
          <w:szCs w:val="28"/>
          <w:lang w:val="en-US"/>
        </w:rPr>
        <w:t>prescription</w:t>
      </w:r>
      <w:r w:rsidRPr="003A7F50">
        <w:rPr>
          <w:rFonts w:ascii="Times New Roman" w:hAnsi="Times New Roman"/>
          <w:sz w:val="28"/>
          <w:szCs w:val="28"/>
          <w:lang w:val="en-US"/>
        </w:rPr>
        <w:t xml:space="preserve"> by experts for treatment and prevention of thyroid disease (Table 3).</w:t>
      </w:r>
    </w:p>
    <w:p w:rsidR="00396A37" w:rsidRDefault="00396A37" w:rsidP="00E62FC1">
      <w:pPr>
        <w:spacing w:after="0" w:line="360" w:lineRule="auto"/>
        <w:ind w:firstLine="709"/>
        <w:jc w:val="right"/>
        <w:rPr>
          <w:rFonts w:ascii="Times New Roman" w:hAnsi="Times New Roman"/>
          <w:sz w:val="28"/>
          <w:szCs w:val="28"/>
          <w:lang w:val="en-US"/>
        </w:rPr>
      </w:pPr>
      <w:r>
        <w:rPr>
          <w:rFonts w:ascii="Times New Roman" w:hAnsi="Times New Roman"/>
          <w:sz w:val="28"/>
          <w:szCs w:val="28"/>
          <w:lang w:val="en-US"/>
        </w:rPr>
        <w:t>Table 3</w:t>
      </w:r>
    </w:p>
    <w:p w:rsidR="00396A37" w:rsidRDefault="00396A37" w:rsidP="00E62FC1">
      <w:pPr>
        <w:spacing w:after="0" w:line="360" w:lineRule="auto"/>
        <w:ind w:firstLine="709"/>
        <w:jc w:val="center"/>
        <w:rPr>
          <w:rFonts w:ascii="Times New Roman" w:hAnsi="Times New Roman"/>
          <w:b/>
          <w:sz w:val="28"/>
          <w:szCs w:val="28"/>
          <w:lang w:val="en-US"/>
        </w:rPr>
      </w:pPr>
      <w:r w:rsidRPr="003A7F50">
        <w:rPr>
          <w:rFonts w:ascii="Times New Roman" w:hAnsi="Times New Roman"/>
          <w:b/>
          <w:sz w:val="28"/>
          <w:szCs w:val="28"/>
          <w:lang w:val="en-US"/>
        </w:rPr>
        <w:t>Endocrinologists’ prescriptions of medicines for treatment and prevention of thyroid disease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9"/>
        <w:gridCol w:w="1423"/>
        <w:gridCol w:w="1437"/>
        <w:gridCol w:w="1825"/>
        <w:gridCol w:w="1751"/>
      </w:tblGrid>
      <w:tr w:rsidR="00396A37" w:rsidRPr="00282FFD" w:rsidTr="000F5099">
        <w:tc>
          <w:tcPr>
            <w:tcW w:w="3419" w:type="dxa"/>
            <w:vMerge w:val="restart"/>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lang w:val="en-US"/>
              </w:rPr>
              <w:t>N</w:t>
            </w:r>
            <w:r w:rsidRPr="00282FFD">
              <w:rPr>
                <w:rFonts w:ascii="Times New Roman" w:hAnsi="Times New Roman"/>
                <w:sz w:val="28"/>
                <w:szCs w:val="28"/>
              </w:rPr>
              <w:t>ame of the drug</w:t>
            </w:r>
          </w:p>
        </w:tc>
        <w:tc>
          <w:tcPr>
            <w:tcW w:w="2860" w:type="dxa"/>
            <w:gridSpan w:val="2"/>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lang w:val="en-US"/>
              </w:rPr>
              <w:t>F</w:t>
            </w:r>
            <w:r w:rsidRPr="00282FFD">
              <w:rPr>
                <w:rFonts w:ascii="Times New Roman" w:hAnsi="Times New Roman"/>
                <w:sz w:val="28"/>
                <w:szCs w:val="28"/>
              </w:rPr>
              <w:t>requency of prescriptions</w:t>
            </w:r>
          </w:p>
        </w:tc>
        <w:tc>
          <w:tcPr>
            <w:tcW w:w="3576" w:type="dxa"/>
            <w:gridSpan w:val="2"/>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Total use</w:t>
            </w:r>
          </w:p>
        </w:tc>
      </w:tr>
      <w:tr w:rsidR="00396A37" w:rsidRPr="00282FFD" w:rsidTr="000F5099">
        <w:tc>
          <w:tcPr>
            <w:tcW w:w="3419" w:type="dxa"/>
            <w:vMerge/>
          </w:tcPr>
          <w:p w:rsidR="00396A37" w:rsidRPr="00282FFD" w:rsidRDefault="00396A37" w:rsidP="000F5099">
            <w:pPr>
              <w:spacing w:after="0" w:line="360" w:lineRule="auto"/>
              <w:jc w:val="both"/>
              <w:rPr>
                <w:rFonts w:ascii="Times New Roman" w:hAnsi="Times New Roman"/>
                <w:sz w:val="28"/>
                <w:szCs w:val="28"/>
              </w:rPr>
            </w:pPr>
          </w:p>
        </w:tc>
        <w:tc>
          <w:tcPr>
            <w:tcW w:w="1423"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often</w:t>
            </w:r>
          </w:p>
        </w:tc>
        <w:tc>
          <w:tcPr>
            <w:tcW w:w="1437" w:type="dxa"/>
          </w:tcPr>
          <w:p w:rsidR="00396A37" w:rsidRPr="00282FFD" w:rsidRDefault="00396A37" w:rsidP="000F5099">
            <w:pPr>
              <w:spacing w:after="0" w:line="360" w:lineRule="auto"/>
              <w:jc w:val="center"/>
              <w:rPr>
                <w:rFonts w:ascii="Times New Roman" w:hAnsi="Times New Roman"/>
                <w:sz w:val="28"/>
                <w:szCs w:val="28"/>
                <w:lang w:val="en-US"/>
              </w:rPr>
            </w:pPr>
            <w:r w:rsidRPr="00282FFD">
              <w:rPr>
                <w:rFonts w:ascii="Times New Roman" w:hAnsi="Times New Roman"/>
                <w:sz w:val="28"/>
                <w:szCs w:val="28"/>
                <w:lang w:val="en-US"/>
              </w:rPr>
              <w:t>rarely</w:t>
            </w:r>
          </w:p>
        </w:tc>
        <w:tc>
          <w:tcPr>
            <w:tcW w:w="1825"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Absolute indicator</w:t>
            </w:r>
          </w:p>
        </w:tc>
        <w:tc>
          <w:tcPr>
            <w:tcW w:w="1751" w:type="dxa"/>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The relative indicator (%)</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hyperlink r:id="rId7" w:history="1">
              <w:r w:rsidRPr="00282FFD">
                <w:rPr>
                  <w:rFonts w:ascii="Times New Roman" w:hAnsi="Times New Roman"/>
                  <w:sz w:val="28"/>
                  <w:szCs w:val="28"/>
                </w:rPr>
                <w:t>L-Thyroxine-Farmak</w:t>
              </w:r>
            </w:hyperlink>
          </w:p>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rPr>
              <w:t xml:space="preserve"> - 25 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3</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9</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12</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40</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hyperlink r:id="rId8" w:history="1">
              <w:r w:rsidRPr="00282FFD">
                <w:rPr>
                  <w:rFonts w:ascii="Times New Roman" w:hAnsi="Times New Roman"/>
                  <w:sz w:val="28"/>
                  <w:szCs w:val="28"/>
                </w:rPr>
                <w:t>L-Thyroxine-Farmak</w:t>
              </w:r>
            </w:hyperlink>
          </w:p>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rPr>
              <w:t>50 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3</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11</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36,67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hyperlink r:id="rId9" w:history="1">
              <w:r w:rsidRPr="00282FFD">
                <w:rPr>
                  <w:rFonts w:ascii="Times New Roman" w:hAnsi="Times New Roman"/>
                  <w:sz w:val="28"/>
                  <w:szCs w:val="28"/>
                </w:rPr>
                <w:t>L-Thyroxine-Farmak</w:t>
              </w:r>
            </w:hyperlink>
          </w:p>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rPr>
              <w:t>100 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12</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40</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rPr>
              <w:t>L-</w:t>
            </w:r>
            <w:r w:rsidRPr="00282FFD">
              <w:rPr>
                <w:rFonts w:ascii="Times New Roman" w:hAnsi="Times New Roman"/>
                <w:sz w:val="28"/>
                <w:szCs w:val="28"/>
                <w:lang w:val="en-US"/>
              </w:rPr>
              <w:t>Thyrox</w:t>
            </w:r>
            <w:r w:rsidRPr="00282FFD">
              <w:rPr>
                <w:rFonts w:ascii="Times New Roman" w:hAnsi="Times New Roman"/>
                <w:sz w:val="28"/>
                <w:szCs w:val="28"/>
              </w:rPr>
              <w:t xml:space="preserve"> </w:t>
            </w:r>
            <w:r w:rsidRPr="00282FFD">
              <w:rPr>
                <w:rFonts w:ascii="Times New Roman" w:hAnsi="Times New Roman"/>
                <w:sz w:val="28"/>
                <w:szCs w:val="28"/>
                <w:lang w:val="en-US"/>
              </w:rPr>
              <w:t>Euro</w:t>
            </w:r>
            <w:r w:rsidRPr="00282FFD">
              <w:rPr>
                <w:rFonts w:ascii="Times New Roman" w:hAnsi="Times New Roman"/>
                <w:sz w:val="28"/>
                <w:szCs w:val="28"/>
              </w:rPr>
              <w:t xml:space="preserve"> 50</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rPr>
              <w:t>L-</w:t>
            </w:r>
            <w:r w:rsidRPr="00282FFD">
              <w:rPr>
                <w:rFonts w:ascii="Times New Roman" w:hAnsi="Times New Roman"/>
                <w:sz w:val="28"/>
                <w:szCs w:val="28"/>
                <w:lang w:val="en-US"/>
              </w:rPr>
              <w:t xml:space="preserve"> Thyrox</w:t>
            </w:r>
            <w:r w:rsidRPr="00282FFD">
              <w:rPr>
                <w:rFonts w:ascii="Times New Roman" w:hAnsi="Times New Roman"/>
                <w:sz w:val="28"/>
                <w:szCs w:val="28"/>
              </w:rPr>
              <w:t xml:space="preserve"> </w:t>
            </w:r>
            <w:r w:rsidRPr="00282FFD">
              <w:rPr>
                <w:rFonts w:ascii="Times New Roman" w:hAnsi="Times New Roman"/>
                <w:sz w:val="28"/>
                <w:szCs w:val="28"/>
                <w:lang w:val="en-US"/>
              </w:rPr>
              <w:t>Euro</w:t>
            </w:r>
            <w:r w:rsidRPr="00282FFD">
              <w:rPr>
                <w:rFonts w:ascii="Times New Roman" w:hAnsi="Times New Roman"/>
                <w:sz w:val="28"/>
                <w:szCs w:val="28"/>
              </w:rPr>
              <w:t xml:space="preserve"> 100</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L-Thyroxine 50 Berlin-Chemie</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21</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25</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L-Thyroxine 75 Berlin-Chemie</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18</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19</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L-Thyroxine 100 Berlin-Chemie</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21</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22</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73,33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L-Thyroxine 125 Berlin-Chemie</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15</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19</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L-Thyroxine 150 Berlin-Chemie</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13</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17</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56,67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Bagothyrox</w:t>
            </w:r>
            <w:r w:rsidRPr="00282FFD">
              <w:rPr>
                <w:rFonts w:ascii="Times New Roman" w:hAnsi="Times New Roman"/>
                <w:sz w:val="28"/>
                <w:szCs w:val="28"/>
              </w:rPr>
              <w:t xml:space="preserve"> 50 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0,00</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Bagothyrox</w:t>
            </w:r>
            <w:r w:rsidRPr="00282FFD">
              <w:rPr>
                <w:rFonts w:ascii="Times New Roman" w:hAnsi="Times New Roman"/>
                <w:sz w:val="28"/>
                <w:szCs w:val="28"/>
              </w:rPr>
              <w:t xml:space="preserve"> </w:t>
            </w:r>
            <w:r w:rsidRPr="00282FFD">
              <w:rPr>
                <w:rFonts w:ascii="Times New Roman" w:hAnsi="Times New Roman"/>
                <w:sz w:val="28"/>
                <w:szCs w:val="28"/>
                <w:lang w:val="en-US"/>
              </w:rPr>
              <w:t>10</w:t>
            </w:r>
            <w:r w:rsidRPr="00282FFD">
              <w:rPr>
                <w:rFonts w:ascii="Times New Roman" w:hAnsi="Times New Roman"/>
                <w:sz w:val="28"/>
                <w:szCs w:val="28"/>
              </w:rPr>
              <w:t>0 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0,00</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Bagothyrox</w:t>
            </w:r>
            <w:r w:rsidRPr="00282FFD">
              <w:rPr>
                <w:rFonts w:ascii="Times New Roman" w:hAnsi="Times New Roman"/>
                <w:sz w:val="28"/>
                <w:szCs w:val="28"/>
              </w:rPr>
              <w:t xml:space="preserve"> </w:t>
            </w:r>
            <w:r w:rsidRPr="00282FFD">
              <w:rPr>
                <w:rFonts w:ascii="Times New Roman" w:hAnsi="Times New Roman"/>
                <w:sz w:val="28"/>
                <w:szCs w:val="28"/>
                <w:lang w:val="en-US"/>
              </w:rPr>
              <w:t>1</w:t>
            </w:r>
            <w:r w:rsidRPr="00282FFD">
              <w:rPr>
                <w:rFonts w:ascii="Times New Roman" w:hAnsi="Times New Roman"/>
                <w:sz w:val="28"/>
                <w:szCs w:val="28"/>
              </w:rPr>
              <w:t>50 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0,00</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Euthyrox</w:t>
            </w:r>
            <w:r w:rsidRPr="00282FFD">
              <w:rPr>
                <w:rFonts w:ascii="Times New Roman" w:hAnsi="Times New Roman"/>
                <w:sz w:val="28"/>
                <w:szCs w:val="28"/>
              </w:rPr>
              <w:t xml:space="preserve"> 25 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14</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Euthyrox</w:t>
            </w:r>
            <w:r w:rsidRPr="00282FFD">
              <w:rPr>
                <w:rFonts w:ascii="Times New Roman" w:hAnsi="Times New Roman"/>
                <w:sz w:val="28"/>
                <w:szCs w:val="28"/>
              </w:rPr>
              <w:t xml:space="preserve"> </w:t>
            </w:r>
            <w:r w:rsidRPr="00282FFD">
              <w:rPr>
                <w:rFonts w:ascii="Times New Roman" w:hAnsi="Times New Roman"/>
                <w:sz w:val="28"/>
                <w:szCs w:val="28"/>
                <w:lang w:val="en-US"/>
              </w:rPr>
              <w:t>50</w:t>
            </w:r>
            <w:r w:rsidRPr="00282FFD">
              <w:rPr>
                <w:rFonts w:ascii="Times New Roman" w:hAnsi="Times New Roman"/>
                <w:sz w:val="28"/>
                <w:szCs w:val="28"/>
              </w:rPr>
              <w:t>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12</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20</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Euthyrox</w:t>
            </w:r>
            <w:r w:rsidRPr="00282FFD">
              <w:rPr>
                <w:rFonts w:ascii="Times New Roman" w:hAnsi="Times New Roman"/>
                <w:sz w:val="28"/>
                <w:szCs w:val="28"/>
              </w:rPr>
              <w:t xml:space="preserve"> </w:t>
            </w:r>
            <w:r w:rsidRPr="00282FFD">
              <w:rPr>
                <w:rFonts w:ascii="Times New Roman" w:hAnsi="Times New Roman"/>
                <w:sz w:val="28"/>
                <w:szCs w:val="28"/>
                <w:lang w:val="en-US"/>
              </w:rPr>
              <w:t>7</w:t>
            </w:r>
            <w:r w:rsidRPr="00282FFD">
              <w:rPr>
                <w:rFonts w:ascii="Times New Roman" w:hAnsi="Times New Roman"/>
                <w:sz w:val="28"/>
                <w:szCs w:val="28"/>
              </w:rPr>
              <w:t>5 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16</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53,33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Euthyrox</w:t>
            </w:r>
            <w:r w:rsidRPr="00282FFD">
              <w:rPr>
                <w:rFonts w:ascii="Times New Roman" w:hAnsi="Times New Roman"/>
                <w:sz w:val="28"/>
                <w:szCs w:val="28"/>
              </w:rPr>
              <w:t xml:space="preserve"> </w:t>
            </w:r>
            <w:r w:rsidRPr="00282FFD">
              <w:rPr>
                <w:rFonts w:ascii="Times New Roman" w:hAnsi="Times New Roman"/>
                <w:sz w:val="28"/>
                <w:szCs w:val="28"/>
                <w:lang w:val="en-US"/>
              </w:rPr>
              <w:t>100</w:t>
            </w:r>
            <w:r w:rsidRPr="00282FFD">
              <w:rPr>
                <w:rFonts w:ascii="Times New Roman" w:hAnsi="Times New Roman"/>
                <w:sz w:val="28"/>
                <w:szCs w:val="28"/>
              </w:rPr>
              <w:t>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9</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19</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Euthyrox</w:t>
            </w:r>
            <w:r w:rsidRPr="00282FFD">
              <w:rPr>
                <w:rFonts w:ascii="Times New Roman" w:hAnsi="Times New Roman"/>
                <w:sz w:val="28"/>
                <w:szCs w:val="28"/>
              </w:rPr>
              <w:t xml:space="preserve"> </w:t>
            </w:r>
            <w:r w:rsidRPr="00282FFD">
              <w:rPr>
                <w:rFonts w:ascii="Times New Roman" w:hAnsi="Times New Roman"/>
                <w:sz w:val="28"/>
                <w:szCs w:val="28"/>
                <w:lang w:val="en-US"/>
              </w:rPr>
              <w:t>1</w:t>
            </w:r>
            <w:r w:rsidRPr="00282FFD">
              <w:rPr>
                <w:rFonts w:ascii="Times New Roman" w:hAnsi="Times New Roman"/>
                <w:sz w:val="28"/>
                <w:szCs w:val="28"/>
              </w:rPr>
              <w:t>25 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12</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40,00</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Euthyrox</w:t>
            </w:r>
            <w:r w:rsidRPr="00282FFD">
              <w:rPr>
                <w:rFonts w:ascii="Times New Roman" w:hAnsi="Times New Roman"/>
                <w:sz w:val="28"/>
                <w:szCs w:val="28"/>
              </w:rPr>
              <w:t xml:space="preserve"> </w:t>
            </w:r>
            <w:r w:rsidRPr="00282FFD">
              <w:rPr>
                <w:rFonts w:ascii="Times New Roman" w:hAnsi="Times New Roman"/>
                <w:sz w:val="28"/>
                <w:szCs w:val="28"/>
                <w:lang w:val="en-US"/>
              </w:rPr>
              <w:t>1</w:t>
            </w:r>
            <w:r w:rsidRPr="00282FFD">
              <w:rPr>
                <w:rFonts w:ascii="Times New Roman" w:hAnsi="Times New Roman"/>
                <w:sz w:val="28"/>
                <w:szCs w:val="28"/>
              </w:rPr>
              <w:t>5</w:t>
            </w:r>
            <w:r w:rsidRPr="00282FFD">
              <w:rPr>
                <w:rFonts w:ascii="Times New Roman" w:hAnsi="Times New Roman"/>
                <w:sz w:val="28"/>
                <w:szCs w:val="28"/>
                <w:lang w:val="en-US"/>
              </w:rPr>
              <w:t>0</w:t>
            </w:r>
            <w:r w:rsidRPr="00282FFD">
              <w:rPr>
                <w:rFonts w:ascii="Times New Roman" w:hAnsi="Times New Roman"/>
                <w:sz w:val="28"/>
                <w:szCs w:val="28"/>
              </w:rPr>
              <w:t>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7</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13</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Merkazolil Zdorovia 5 mg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11</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19</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Metyzol</w:t>
            </w:r>
            <w:r w:rsidRPr="00282FFD">
              <w:rPr>
                <w:rFonts w:ascii="Times New Roman" w:hAnsi="Times New Roman"/>
                <w:sz w:val="28"/>
                <w:szCs w:val="28"/>
              </w:rPr>
              <w:t xml:space="preserve"> 5 </w:t>
            </w:r>
            <w:r w:rsidRPr="00282FFD">
              <w:rPr>
                <w:rFonts w:ascii="Times New Roman" w:hAnsi="Times New Roman"/>
                <w:sz w:val="28"/>
                <w:szCs w:val="28"/>
                <w:lang w:val="en-US"/>
              </w:rPr>
              <w:t>mg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9</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10</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33,33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Thyrozol 5 mg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15</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19</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Thyrozol 10 mg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12</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16</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53,33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Antystrumin micro</w:t>
            </w:r>
            <w:r w:rsidRPr="00282FFD">
              <w:rPr>
                <w:rFonts w:ascii="Times New Roman" w:hAnsi="Times New Roman"/>
                <w:sz w:val="28"/>
                <w:szCs w:val="28"/>
              </w:rPr>
              <w:t>® 100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3</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Antystrumin micro</w:t>
            </w:r>
            <w:r w:rsidRPr="00282FFD">
              <w:rPr>
                <w:rFonts w:ascii="Times New Roman" w:hAnsi="Times New Roman"/>
                <w:sz w:val="28"/>
                <w:szCs w:val="28"/>
              </w:rPr>
              <w:t xml:space="preserve">® </w:t>
            </w:r>
            <w:r w:rsidRPr="00282FFD">
              <w:rPr>
                <w:rFonts w:ascii="Times New Roman" w:hAnsi="Times New Roman"/>
                <w:sz w:val="28"/>
                <w:szCs w:val="28"/>
                <w:lang w:val="en-US"/>
              </w:rPr>
              <w:t>2</w:t>
            </w:r>
            <w:r w:rsidRPr="00282FFD">
              <w:rPr>
                <w:rFonts w:ascii="Times New Roman" w:hAnsi="Times New Roman"/>
                <w:sz w:val="28"/>
                <w:szCs w:val="28"/>
              </w:rPr>
              <w:t>00 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3</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5</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Antystrumin Darnytsia</w:t>
            </w:r>
            <w:r w:rsidRPr="00282FFD">
              <w:rPr>
                <w:rFonts w:ascii="Times New Roman" w:hAnsi="Times New Roman"/>
                <w:sz w:val="28"/>
                <w:szCs w:val="28"/>
              </w:rPr>
              <w:t xml:space="preserve"> 1 </w:t>
            </w:r>
            <w:r w:rsidRPr="00282FFD">
              <w:rPr>
                <w:rFonts w:ascii="Times New Roman" w:hAnsi="Times New Roman"/>
                <w:sz w:val="28"/>
                <w:szCs w:val="28"/>
                <w:lang w:val="en-US"/>
              </w:rPr>
              <w:t>mg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5</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Iodid Farmak</w:t>
            </w:r>
            <w:r w:rsidRPr="00282FFD">
              <w:rPr>
                <w:rFonts w:ascii="Times New Roman" w:hAnsi="Times New Roman"/>
                <w:sz w:val="28"/>
                <w:szCs w:val="28"/>
              </w:rPr>
              <w:t>® 100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Iodid Farmak</w:t>
            </w:r>
            <w:r w:rsidRPr="00282FFD">
              <w:rPr>
                <w:rFonts w:ascii="Times New Roman" w:hAnsi="Times New Roman"/>
                <w:sz w:val="28"/>
                <w:szCs w:val="28"/>
              </w:rPr>
              <w:t xml:space="preserve">® </w:t>
            </w:r>
            <w:r w:rsidRPr="00282FFD">
              <w:rPr>
                <w:rFonts w:ascii="Times New Roman" w:hAnsi="Times New Roman"/>
                <w:sz w:val="28"/>
                <w:szCs w:val="28"/>
                <w:lang w:val="en-US"/>
              </w:rPr>
              <w:t>2</w:t>
            </w:r>
            <w:r w:rsidRPr="00282FFD">
              <w:rPr>
                <w:rFonts w:ascii="Times New Roman" w:hAnsi="Times New Roman"/>
                <w:sz w:val="28"/>
                <w:szCs w:val="28"/>
              </w:rPr>
              <w:t>00 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Iod</w:t>
            </w:r>
            <w:r w:rsidRPr="00282FFD">
              <w:rPr>
                <w:rFonts w:ascii="Times New Roman" w:hAnsi="Times New Roman"/>
                <w:sz w:val="28"/>
                <w:szCs w:val="28"/>
              </w:rPr>
              <w:t>-</w:t>
            </w:r>
            <w:r w:rsidRPr="00282FFD">
              <w:rPr>
                <w:rFonts w:ascii="Times New Roman" w:hAnsi="Times New Roman"/>
                <w:sz w:val="28"/>
                <w:szCs w:val="28"/>
                <w:lang w:val="en-US"/>
              </w:rPr>
              <w:t>Normil</w:t>
            </w:r>
            <w:r w:rsidRPr="00282FFD">
              <w:rPr>
                <w:rFonts w:ascii="Times New Roman" w:hAnsi="Times New Roman"/>
                <w:sz w:val="28"/>
                <w:szCs w:val="28"/>
              </w:rPr>
              <w:t xml:space="preserve"> 100 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5</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5</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Iod</w:t>
            </w:r>
            <w:r w:rsidRPr="00282FFD">
              <w:rPr>
                <w:rFonts w:ascii="Times New Roman" w:hAnsi="Times New Roman"/>
                <w:sz w:val="28"/>
                <w:szCs w:val="28"/>
              </w:rPr>
              <w:t>-</w:t>
            </w:r>
            <w:r w:rsidRPr="00282FFD">
              <w:rPr>
                <w:rFonts w:ascii="Times New Roman" w:hAnsi="Times New Roman"/>
                <w:sz w:val="28"/>
                <w:szCs w:val="28"/>
                <w:lang w:val="en-US"/>
              </w:rPr>
              <w:t>Normil</w:t>
            </w:r>
            <w:r w:rsidRPr="00282FFD">
              <w:rPr>
                <w:rFonts w:ascii="Times New Roman" w:hAnsi="Times New Roman"/>
                <w:sz w:val="28"/>
                <w:szCs w:val="28"/>
              </w:rPr>
              <w:t xml:space="preserve"> </w:t>
            </w:r>
            <w:r w:rsidRPr="00282FFD">
              <w:rPr>
                <w:rFonts w:ascii="Times New Roman" w:hAnsi="Times New Roman"/>
                <w:sz w:val="28"/>
                <w:szCs w:val="28"/>
                <w:lang w:val="en-US"/>
              </w:rPr>
              <w:t>2</w:t>
            </w:r>
            <w:r w:rsidRPr="00282FFD">
              <w:rPr>
                <w:rFonts w:ascii="Times New Roman" w:hAnsi="Times New Roman"/>
                <w:sz w:val="28"/>
                <w:szCs w:val="28"/>
              </w:rPr>
              <w:t>00 </w:t>
            </w:r>
            <w:r w:rsidRPr="00282FFD">
              <w:rPr>
                <w:rFonts w:ascii="Times New Roman" w:hAnsi="Times New Roman"/>
                <w:sz w:val="28"/>
                <w:szCs w:val="28"/>
                <w:lang w:val="en-US"/>
              </w:rPr>
              <w:t>mcg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3</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lang w:val="en-US"/>
              </w:rPr>
            </w:pPr>
            <w:r w:rsidRPr="00282FFD">
              <w:rPr>
                <w:rFonts w:ascii="Times New Roman" w:hAnsi="Times New Roman"/>
                <w:sz w:val="28"/>
                <w:szCs w:val="28"/>
                <w:lang w:val="en-US"/>
              </w:rPr>
              <w:t>Kalii Iodidi</w:t>
            </w:r>
            <w:r w:rsidRPr="00282FFD">
              <w:rPr>
                <w:rFonts w:ascii="Times New Roman" w:hAnsi="Times New Roman"/>
                <w:sz w:val="28"/>
                <w:szCs w:val="28"/>
              </w:rPr>
              <w:t xml:space="preserve"> 0,25 </w:t>
            </w:r>
            <w:r w:rsidRPr="00282FFD">
              <w:rPr>
                <w:rFonts w:ascii="Times New Roman" w:hAnsi="Times New Roman"/>
                <w:sz w:val="28"/>
                <w:szCs w:val="28"/>
                <w:lang w:val="en-US"/>
              </w:rPr>
              <w:t>g</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Iodovital</w:t>
            </w:r>
            <w:r w:rsidRPr="00282FFD">
              <w:rPr>
                <w:rFonts w:ascii="Times New Roman" w:hAnsi="Times New Roman"/>
                <w:sz w:val="28"/>
                <w:szCs w:val="28"/>
              </w:rPr>
              <w:t>® 100</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4</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13,33</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Iodovital</w:t>
            </w:r>
            <w:r w:rsidRPr="00282FFD">
              <w:rPr>
                <w:rFonts w:ascii="Times New Roman" w:hAnsi="Times New Roman"/>
                <w:sz w:val="28"/>
                <w:szCs w:val="28"/>
              </w:rPr>
              <w:t xml:space="preserve">® </w:t>
            </w:r>
            <w:r w:rsidRPr="00282FFD">
              <w:rPr>
                <w:rFonts w:ascii="Times New Roman" w:hAnsi="Times New Roman"/>
                <w:sz w:val="28"/>
                <w:szCs w:val="28"/>
                <w:lang w:val="en-US"/>
              </w:rPr>
              <w:t>2</w:t>
            </w:r>
            <w:r w:rsidRPr="00282FFD">
              <w:rPr>
                <w:rFonts w:ascii="Times New Roman" w:hAnsi="Times New Roman"/>
                <w:sz w:val="28"/>
                <w:szCs w:val="28"/>
              </w:rPr>
              <w:t>00</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6,67</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Yodomaryn®</w:t>
            </w:r>
            <w:r w:rsidRPr="00282FFD">
              <w:rPr>
                <w:rFonts w:ascii="Times New Roman" w:hAnsi="Times New Roman"/>
                <w:sz w:val="28"/>
                <w:szCs w:val="28"/>
              </w:rPr>
              <w:t xml:space="preserve"> 100</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22</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24</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80,00</w:t>
            </w:r>
          </w:p>
        </w:tc>
      </w:tr>
      <w:tr w:rsidR="00396A37" w:rsidRPr="00282FFD" w:rsidTr="000F5099">
        <w:tc>
          <w:tcPr>
            <w:tcW w:w="3419" w:type="dxa"/>
            <w:vAlign w:val="center"/>
          </w:tcPr>
          <w:p w:rsidR="00396A37" w:rsidRPr="00282FFD" w:rsidRDefault="00396A37" w:rsidP="000F5099">
            <w:pPr>
              <w:spacing w:after="0" w:line="360" w:lineRule="auto"/>
              <w:jc w:val="both"/>
              <w:rPr>
                <w:rFonts w:ascii="Times New Roman" w:hAnsi="Times New Roman"/>
                <w:sz w:val="28"/>
                <w:szCs w:val="28"/>
              </w:rPr>
            </w:pPr>
            <w:r w:rsidRPr="00282FFD">
              <w:rPr>
                <w:rFonts w:ascii="Times New Roman" w:hAnsi="Times New Roman"/>
                <w:sz w:val="28"/>
                <w:szCs w:val="28"/>
                <w:lang w:val="en-US"/>
              </w:rPr>
              <w:t>Yodomaryn</w:t>
            </w:r>
            <w:r w:rsidRPr="00282FFD">
              <w:rPr>
                <w:rFonts w:ascii="Times New Roman" w:hAnsi="Times New Roman"/>
                <w:sz w:val="28"/>
                <w:szCs w:val="28"/>
              </w:rPr>
              <w:t>® 200</w:t>
            </w:r>
          </w:p>
        </w:tc>
        <w:tc>
          <w:tcPr>
            <w:tcW w:w="1423"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24</w:t>
            </w:r>
          </w:p>
        </w:tc>
        <w:tc>
          <w:tcPr>
            <w:tcW w:w="1437"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1</w:t>
            </w:r>
          </w:p>
        </w:tc>
        <w:tc>
          <w:tcPr>
            <w:tcW w:w="1825"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25</w:t>
            </w:r>
          </w:p>
        </w:tc>
        <w:tc>
          <w:tcPr>
            <w:tcW w:w="1751" w:type="dxa"/>
            <w:vAlign w:val="bottom"/>
          </w:tcPr>
          <w:p w:rsidR="00396A37" w:rsidRPr="00282FFD" w:rsidRDefault="00396A37" w:rsidP="000F5099">
            <w:pPr>
              <w:spacing w:after="0" w:line="360" w:lineRule="auto"/>
              <w:jc w:val="center"/>
              <w:rPr>
                <w:rFonts w:ascii="Times New Roman" w:hAnsi="Times New Roman"/>
                <w:sz w:val="28"/>
                <w:szCs w:val="28"/>
              </w:rPr>
            </w:pPr>
            <w:r w:rsidRPr="00282FFD">
              <w:rPr>
                <w:rFonts w:ascii="Times New Roman" w:hAnsi="Times New Roman"/>
                <w:sz w:val="28"/>
                <w:szCs w:val="28"/>
              </w:rPr>
              <w:t>83,33</w:t>
            </w:r>
          </w:p>
        </w:tc>
      </w:tr>
    </w:tbl>
    <w:p w:rsidR="00396A37" w:rsidRDefault="00396A37" w:rsidP="00E62FC1">
      <w:pPr>
        <w:spacing w:after="0" w:line="360" w:lineRule="auto"/>
        <w:ind w:firstLine="709"/>
        <w:jc w:val="both"/>
        <w:rPr>
          <w:rFonts w:ascii="Times New Roman" w:hAnsi="Times New Roman"/>
          <w:sz w:val="28"/>
          <w:szCs w:val="28"/>
          <w:lang w:val="uk-UA"/>
        </w:rPr>
      </w:pPr>
    </w:p>
    <w:p w:rsidR="00396A37" w:rsidRDefault="00396A37" w:rsidP="006214EE">
      <w:pPr>
        <w:spacing w:after="0" w:line="360" w:lineRule="auto"/>
        <w:ind w:firstLine="709"/>
        <w:jc w:val="both"/>
        <w:rPr>
          <w:rFonts w:ascii="Times New Roman" w:hAnsi="Times New Roman"/>
          <w:sz w:val="28"/>
          <w:szCs w:val="28"/>
          <w:lang w:val="en-US"/>
        </w:rPr>
      </w:pPr>
      <w:r w:rsidRPr="00BB25A1">
        <w:rPr>
          <w:rFonts w:ascii="Times New Roman" w:hAnsi="Times New Roman"/>
          <w:sz w:val="28"/>
          <w:szCs w:val="28"/>
          <w:lang w:val="en-US"/>
        </w:rPr>
        <w:t xml:space="preserve">We found that out of 35 drugs listed in questionnaire, doctors </w:t>
      </w:r>
      <w:r>
        <w:rPr>
          <w:rFonts w:ascii="Times New Roman" w:hAnsi="Times New Roman"/>
          <w:sz w:val="28"/>
          <w:szCs w:val="28"/>
          <w:lang w:val="en-US"/>
        </w:rPr>
        <w:t>using</w:t>
      </w:r>
      <w:r w:rsidRPr="00BB25A1">
        <w:rPr>
          <w:rFonts w:ascii="Times New Roman" w:hAnsi="Times New Roman"/>
          <w:sz w:val="28"/>
          <w:szCs w:val="28"/>
          <w:lang w:val="en-US"/>
        </w:rPr>
        <w:t xml:space="preserve"> in their practice 32 (91.4%).</w:t>
      </w:r>
      <w:r>
        <w:rPr>
          <w:rFonts w:ascii="Times New Roman" w:hAnsi="Times New Roman"/>
          <w:sz w:val="28"/>
          <w:szCs w:val="28"/>
          <w:lang w:val="en-US"/>
        </w:rPr>
        <w:t xml:space="preserve"> B</w:t>
      </w:r>
      <w:r w:rsidRPr="00B71EB7">
        <w:rPr>
          <w:rFonts w:ascii="Times New Roman" w:hAnsi="Times New Roman"/>
          <w:sz w:val="28"/>
          <w:szCs w:val="28"/>
          <w:lang w:val="en-US"/>
        </w:rPr>
        <w:t>ut only 20 drugs prescribed 30% or more experts.</w:t>
      </w:r>
    </w:p>
    <w:p w:rsidR="00396A37" w:rsidRDefault="00396A37" w:rsidP="006214EE">
      <w:pPr>
        <w:spacing w:after="0" w:line="360" w:lineRule="auto"/>
        <w:ind w:firstLine="709"/>
        <w:jc w:val="both"/>
        <w:rPr>
          <w:rFonts w:ascii="Times New Roman" w:hAnsi="Times New Roman"/>
          <w:sz w:val="28"/>
          <w:szCs w:val="28"/>
          <w:lang w:val="en-US"/>
        </w:rPr>
      </w:pPr>
      <w:r w:rsidRPr="00B71EB7">
        <w:rPr>
          <w:rFonts w:ascii="Times New Roman" w:hAnsi="Times New Roman"/>
          <w:sz w:val="28"/>
          <w:szCs w:val="28"/>
          <w:lang w:val="en-US"/>
        </w:rPr>
        <w:t>The largest percentage of use in practice of endocrinologists among levothyroxine sodium drugs is L-thyroxine 50 Berlin-Chemie.</w:t>
      </w:r>
      <w:r>
        <w:rPr>
          <w:rFonts w:ascii="Times New Roman" w:hAnsi="Times New Roman"/>
          <w:sz w:val="28"/>
          <w:szCs w:val="28"/>
          <w:lang w:val="en-US"/>
        </w:rPr>
        <w:t xml:space="preserve"> </w:t>
      </w:r>
      <w:r w:rsidRPr="00B71EB7">
        <w:rPr>
          <w:rFonts w:ascii="Times New Roman" w:hAnsi="Times New Roman"/>
          <w:sz w:val="28"/>
          <w:szCs w:val="28"/>
          <w:lang w:val="en-US"/>
        </w:rPr>
        <w:t>Among tiamazol advantage by the total number of prescriptions was equally M</w:t>
      </w:r>
      <w:r>
        <w:rPr>
          <w:rFonts w:ascii="Times New Roman" w:hAnsi="Times New Roman"/>
          <w:sz w:val="28"/>
          <w:szCs w:val="28"/>
          <w:lang w:val="en-US"/>
        </w:rPr>
        <w:t xml:space="preserve">erkazolil Zdorovia </w:t>
      </w:r>
      <w:r w:rsidRPr="00B71EB7">
        <w:rPr>
          <w:rFonts w:ascii="Times New Roman" w:hAnsi="Times New Roman"/>
          <w:sz w:val="28"/>
          <w:szCs w:val="28"/>
          <w:lang w:val="en-US"/>
        </w:rPr>
        <w:t>5 mg and T</w:t>
      </w:r>
      <w:r>
        <w:rPr>
          <w:rFonts w:ascii="Times New Roman" w:hAnsi="Times New Roman"/>
          <w:sz w:val="28"/>
          <w:szCs w:val="28"/>
          <w:lang w:val="en-US"/>
        </w:rPr>
        <w:t>hyrozol</w:t>
      </w:r>
      <w:r w:rsidRPr="00B71EB7">
        <w:rPr>
          <w:rFonts w:ascii="Times New Roman" w:hAnsi="Times New Roman"/>
          <w:sz w:val="28"/>
          <w:szCs w:val="28"/>
          <w:lang w:val="en-US"/>
        </w:rPr>
        <w:t xml:space="preserve"> 5 mg, but the last one is used more often.</w:t>
      </w:r>
      <w:r>
        <w:rPr>
          <w:rFonts w:ascii="Times New Roman" w:hAnsi="Times New Roman"/>
          <w:sz w:val="28"/>
          <w:szCs w:val="28"/>
          <w:lang w:val="en-US"/>
        </w:rPr>
        <w:t xml:space="preserve"> </w:t>
      </w:r>
      <w:r w:rsidRPr="00B71EB7">
        <w:rPr>
          <w:rFonts w:ascii="Times New Roman" w:hAnsi="Times New Roman"/>
          <w:sz w:val="28"/>
          <w:szCs w:val="28"/>
          <w:lang w:val="en-US"/>
        </w:rPr>
        <w:t xml:space="preserve">From iodine preparations </w:t>
      </w:r>
      <w:r>
        <w:rPr>
          <w:rFonts w:ascii="Times New Roman" w:hAnsi="Times New Roman"/>
          <w:sz w:val="28"/>
          <w:szCs w:val="28"/>
          <w:lang w:val="en-US"/>
        </w:rPr>
        <w:t>(potassium iodide) 83.3% of experts prefer Yodomaryn®</w:t>
      </w:r>
      <w:r w:rsidRPr="00B71EB7">
        <w:rPr>
          <w:rFonts w:ascii="Times New Roman" w:hAnsi="Times New Roman"/>
          <w:sz w:val="28"/>
          <w:szCs w:val="28"/>
          <w:lang w:val="en-US"/>
        </w:rPr>
        <w:t xml:space="preserve"> 200.</w:t>
      </w:r>
    </w:p>
    <w:p w:rsidR="00396A37" w:rsidRDefault="00396A37" w:rsidP="00CC7980">
      <w:pPr>
        <w:spacing w:after="0" w:line="360" w:lineRule="auto"/>
        <w:ind w:firstLine="709"/>
        <w:jc w:val="both"/>
        <w:rPr>
          <w:rFonts w:ascii="Times New Roman" w:hAnsi="Times New Roman"/>
          <w:sz w:val="28"/>
          <w:szCs w:val="28"/>
          <w:lang w:val="en-US"/>
        </w:rPr>
      </w:pPr>
      <w:r w:rsidRPr="00B71EB7">
        <w:rPr>
          <w:rFonts w:ascii="Times New Roman" w:hAnsi="Times New Roman"/>
          <w:sz w:val="28"/>
          <w:szCs w:val="28"/>
          <w:lang w:val="en-US"/>
        </w:rPr>
        <w:t xml:space="preserve">Physicians were asked to rate the most important </w:t>
      </w:r>
      <w:r>
        <w:rPr>
          <w:rFonts w:ascii="Times New Roman" w:hAnsi="Times New Roman"/>
          <w:sz w:val="28"/>
          <w:szCs w:val="28"/>
          <w:lang w:val="en-US"/>
        </w:rPr>
        <w:t xml:space="preserve">for them </w:t>
      </w:r>
      <w:r w:rsidRPr="00B71EB7">
        <w:rPr>
          <w:rFonts w:ascii="Times New Roman" w:hAnsi="Times New Roman"/>
          <w:sz w:val="28"/>
          <w:szCs w:val="28"/>
          <w:lang w:val="en-US"/>
        </w:rPr>
        <w:t xml:space="preserve">features </w:t>
      </w:r>
      <w:r>
        <w:rPr>
          <w:rFonts w:ascii="Times New Roman" w:hAnsi="Times New Roman"/>
          <w:sz w:val="28"/>
          <w:szCs w:val="28"/>
          <w:lang w:val="en-US"/>
        </w:rPr>
        <w:t>of</w:t>
      </w:r>
      <w:r w:rsidRPr="00B71EB7">
        <w:rPr>
          <w:rFonts w:ascii="Times New Roman" w:hAnsi="Times New Roman"/>
          <w:sz w:val="28"/>
          <w:szCs w:val="28"/>
          <w:lang w:val="en-US"/>
        </w:rPr>
        <w:t xml:space="preserve"> drugs that affect </w:t>
      </w:r>
      <w:r>
        <w:rPr>
          <w:rFonts w:ascii="Times New Roman" w:hAnsi="Times New Roman"/>
          <w:sz w:val="28"/>
          <w:szCs w:val="28"/>
          <w:lang w:val="en-US"/>
        </w:rPr>
        <w:t>prescription of</w:t>
      </w:r>
      <w:r w:rsidRPr="00B71EB7">
        <w:rPr>
          <w:rFonts w:ascii="Times New Roman" w:hAnsi="Times New Roman"/>
          <w:sz w:val="28"/>
          <w:szCs w:val="28"/>
          <w:lang w:val="en-US"/>
        </w:rPr>
        <w:t xml:space="preserve"> drug (Figure 1).</w:t>
      </w:r>
    </w:p>
    <w:p w:rsidR="00396A37" w:rsidRDefault="00396A37" w:rsidP="006214EE">
      <w:pPr>
        <w:spacing w:after="0" w:line="360" w:lineRule="auto"/>
        <w:ind w:firstLine="709"/>
        <w:jc w:val="center"/>
        <w:rPr>
          <w:rFonts w:ascii="Times New Roman" w:hAnsi="Times New Roman"/>
          <w:sz w:val="28"/>
          <w:szCs w:val="28"/>
          <w:lang w:val="en-US"/>
        </w:rPr>
      </w:pPr>
      <w:r w:rsidRPr="00282FFD">
        <w:rPr>
          <w:rFonts w:ascii="Times New Roman" w:hAnsi="Times New Roman"/>
          <w:noProof/>
          <w:sz w:val="28"/>
          <w:szCs w:val="28"/>
          <w:lang w:eastAsia="ru-RU"/>
        </w:rPr>
        <w:object w:dxaOrig="8785" w:dyaOrig="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іаграма 1" o:spid="_x0000_i1025" type="#_x0000_t75" style="width:463.5pt;height:255.75pt;visibility:visible" o:ole="">
            <v:imagedata r:id="rId10" o:title="" croptop="-15489f" cropbottom="-14907f" cropleft="-1291f" cropright="-3006f"/>
            <o:lock v:ext="edit" aspectratio="f"/>
          </v:shape>
          <o:OLEObject Type="Embed" ProgID="Excel.Chart.8" ShapeID="Діаграма 1" DrawAspect="Content" ObjectID="_1504512687" r:id="rId11"/>
        </w:object>
      </w:r>
    </w:p>
    <w:p w:rsidR="00396A37" w:rsidRDefault="00396A37" w:rsidP="00E62FC1">
      <w:pPr>
        <w:spacing w:after="0" w:line="360" w:lineRule="auto"/>
        <w:ind w:firstLine="709"/>
        <w:jc w:val="center"/>
        <w:rPr>
          <w:rFonts w:ascii="Times New Roman" w:hAnsi="Times New Roman"/>
          <w:sz w:val="28"/>
          <w:szCs w:val="28"/>
          <w:lang w:val="en-US"/>
        </w:rPr>
      </w:pPr>
      <w:r w:rsidRPr="00EC3B22">
        <w:rPr>
          <w:rFonts w:ascii="Times New Roman" w:hAnsi="Times New Roman"/>
          <w:sz w:val="28"/>
          <w:szCs w:val="28"/>
          <w:lang w:val="en-US"/>
        </w:rPr>
        <w:t>Fig. 1 Evaluation of significance of functional</w:t>
      </w:r>
      <w:r>
        <w:rPr>
          <w:rFonts w:ascii="Times New Roman" w:hAnsi="Times New Roman"/>
          <w:sz w:val="28"/>
          <w:szCs w:val="28"/>
          <w:lang w:val="en-US"/>
        </w:rPr>
        <w:t xml:space="preserve"> and other</w:t>
      </w:r>
      <w:r w:rsidRPr="00EC3B22">
        <w:rPr>
          <w:rFonts w:ascii="Times New Roman" w:hAnsi="Times New Roman"/>
          <w:sz w:val="28"/>
          <w:szCs w:val="28"/>
          <w:lang w:val="en-US"/>
        </w:rPr>
        <w:t xml:space="preserve"> qualities of drugs</w:t>
      </w:r>
    </w:p>
    <w:p w:rsidR="00396A37" w:rsidRDefault="00396A37" w:rsidP="00E62FC1">
      <w:pPr>
        <w:spacing w:after="0" w:line="360" w:lineRule="auto"/>
        <w:ind w:firstLine="709"/>
        <w:jc w:val="center"/>
        <w:rPr>
          <w:rFonts w:ascii="Times New Roman" w:hAnsi="Times New Roman"/>
          <w:sz w:val="28"/>
          <w:szCs w:val="28"/>
          <w:lang w:val="en-US"/>
        </w:rPr>
      </w:pPr>
    </w:p>
    <w:p w:rsidR="00396A37" w:rsidRDefault="00396A37" w:rsidP="006214EE">
      <w:pPr>
        <w:spacing w:after="0" w:line="360" w:lineRule="auto"/>
        <w:ind w:firstLine="709"/>
        <w:jc w:val="both"/>
        <w:rPr>
          <w:rFonts w:ascii="Times New Roman" w:hAnsi="Times New Roman"/>
          <w:sz w:val="28"/>
          <w:szCs w:val="28"/>
          <w:lang w:val="en-US"/>
        </w:rPr>
      </w:pPr>
      <w:r w:rsidRPr="00767C79">
        <w:rPr>
          <w:rFonts w:ascii="Times New Roman" w:hAnsi="Times New Roman"/>
          <w:sz w:val="28"/>
          <w:szCs w:val="28"/>
          <w:lang w:val="en-US"/>
        </w:rPr>
        <w:t>According to Figure 1, the most important f</w:t>
      </w:r>
      <w:r>
        <w:rPr>
          <w:rFonts w:ascii="Times New Roman" w:hAnsi="Times New Roman"/>
          <w:sz w:val="28"/>
          <w:szCs w:val="28"/>
          <w:lang w:val="en-US"/>
        </w:rPr>
        <w:t>eature of drugs that affect prescriptions</w:t>
      </w:r>
      <w:r w:rsidRPr="00767C79">
        <w:rPr>
          <w:rFonts w:ascii="Times New Roman" w:hAnsi="Times New Roman"/>
          <w:sz w:val="28"/>
          <w:szCs w:val="28"/>
          <w:lang w:val="en-US"/>
        </w:rPr>
        <w:t>, doctors have identified the effectiveness of drugs (83%), followed - absence of side effects (43%).</w:t>
      </w:r>
      <w:r>
        <w:rPr>
          <w:rFonts w:ascii="Times New Roman" w:hAnsi="Times New Roman"/>
          <w:sz w:val="28"/>
          <w:szCs w:val="28"/>
          <w:lang w:val="en-US"/>
        </w:rPr>
        <w:t xml:space="preserve"> </w:t>
      </w:r>
      <w:r w:rsidRPr="00767C79">
        <w:rPr>
          <w:rFonts w:ascii="Times New Roman" w:hAnsi="Times New Roman"/>
          <w:sz w:val="28"/>
          <w:szCs w:val="28"/>
          <w:lang w:val="en-US"/>
        </w:rPr>
        <w:t>The prestige of trade name has a minimal value for endocrinologists (17%).</w:t>
      </w:r>
    </w:p>
    <w:p w:rsidR="00396A37" w:rsidRDefault="00396A37" w:rsidP="00CC7980">
      <w:pPr>
        <w:spacing w:after="0" w:line="360" w:lineRule="auto"/>
        <w:ind w:firstLine="709"/>
        <w:jc w:val="both"/>
        <w:rPr>
          <w:rFonts w:ascii="Times New Roman" w:hAnsi="Times New Roman"/>
          <w:sz w:val="28"/>
          <w:szCs w:val="28"/>
          <w:lang w:val="en-US"/>
        </w:rPr>
      </w:pPr>
      <w:r w:rsidRPr="00767C79">
        <w:rPr>
          <w:rFonts w:ascii="Times New Roman" w:hAnsi="Times New Roman"/>
          <w:sz w:val="28"/>
          <w:szCs w:val="28"/>
          <w:lang w:val="en-US"/>
        </w:rPr>
        <w:t>Also as a result of questionnaires, we were able to identify which sources of information about drugs use in their work endocrinologists (Figure 2).</w:t>
      </w:r>
    </w:p>
    <w:p w:rsidR="00396A37" w:rsidRDefault="00396A37" w:rsidP="006214EE">
      <w:pPr>
        <w:spacing w:after="0" w:line="360" w:lineRule="auto"/>
        <w:ind w:firstLine="709"/>
        <w:jc w:val="both"/>
        <w:rPr>
          <w:rFonts w:ascii="Times New Roman" w:hAnsi="Times New Roman"/>
          <w:sz w:val="28"/>
          <w:szCs w:val="28"/>
          <w:lang w:val="en-US"/>
        </w:rPr>
      </w:pPr>
      <w:r w:rsidRPr="00282FFD">
        <w:rPr>
          <w:rFonts w:ascii="Times New Roman" w:hAnsi="Times New Roman"/>
          <w:noProof/>
          <w:sz w:val="28"/>
          <w:szCs w:val="28"/>
          <w:lang w:eastAsia="ru-RU"/>
        </w:rPr>
        <w:object w:dxaOrig="7527" w:dyaOrig="4647">
          <v:shape id="Діаграма 2" o:spid="_x0000_i1026" type="#_x0000_t75" style="width:429pt;height:246.75pt;visibility:visible" o:ole="">
            <v:imagedata r:id="rId12" o:title="" croptop="-2031f" cropbottom="-2045f" cropleft="-2342f" cropright="-6835f"/>
            <o:lock v:ext="edit" aspectratio="f"/>
          </v:shape>
          <o:OLEObject Type="Embed" ProgID="Excel.Chart.8" ShapeID="Діаграма 2" DrawAspect="Content" ObjectID="_1504512688" r:id="rId13"/>
        </w:object>
      </w:r>
    </w:p>
    <w:p w:rsidR="00396A37" w:rsidRDefault="00396A37" w:rsidP="00E62FC1">
      <w:pPr>
        <w:spacing w:after="0" w:line="360" w:lineRule="auto"/>
        <w:ind w:firstLine="709"/>
        <w:jc w:val="center"/>
        <w:rPr>
          <w:rFonts w:ascii="Times New Roman" w:hAnsi="Times New Roman"/>
          <w:sz w:val="28"/>
          <w:szCs w:val="28"/>
          <w:lang w:val="en-US"/>
        </w:rPr>
      </w:pPr>
      <w:r>
        <w:rPr>
          <w:rFonts w:ascii="Times New Roman" w:hAnsi="Times New Roman"/>
          <w:sz w:val="28"/>
          <w:szCs w:val="28"/>
          <w:lang w:val="en-US"/>
        </w:rPr>
        <w:t>Fig. 2</w:t>
      </w:r>
      <w:r w:rsidRPr="002B43CD">
        <w:rPr>
          <w:rFonts w:ascii="Times New Roman" w:hAnsi="Times New Roman"/>
          <w:sz w:val="28"/>
          <w:szCs w:val="28"/>
          <w:lang w:val="en-US"/>
        </w:rPr>
        <w:t xml:space="preserve"> Rating of informational sources about medicines</w:t>
      </w:r>
    </w:p>
    <w:p w:rsidR="00396A37" w:rsidRDefault="00396A37" w:rsidP="00E62FC1">
      <w:pPr>
        <w:spacing w:after="0" w:line="360" w:lineRule="auto"/>
        <w:ind w:firstLine="709"/>
        <w:jc w:val="center"/>
        <w:rPr>
          <w:rFonts w:ascii="Times New Roman" w:hAnsi="Times New Roman"/>
          <w:sz w:val="28"/>
          <w:szCs w:val="28"/>
          <w:lang w:val="en-US"/>
        </w:rPr>
      </w:pPr>
    </w:p>
    <w:p w:rsidR="00396A37" w:rsidRDefault="00396A37" w:rsidP="006214EE">
      <w:pPr>
        <w:spacing w:after="0" w:line="360" w:lineRule="auto"/>
        <w:ind w:firstLine="709"/>
        <w:jc w:val="both"/>
        <w:rPr>
          <w:rFonts w:ascii="Times New Roman" w:hAnsi="Times New Roman"/>
          <w:sz w:val="28"/>
          <w:szCs w:val="28"/>
          <w:lang w:val="en-US"/>
        </w:rPr>
      </w:pPr>
      <w:r w:rsidRPr="002B43CD">
        <w:rPr>
          <w:rFonts w:ascii="Times New Roman" w:hAnsi="Times New Roman"/>
          <w:sz w:val="28"/>
          <w:szCs w:val="28"/>
          <w:lang w:val="en-US"/>
        </w:rPr>
        <w:t>Found that most doctors give preference</w:t>
      </w:r>
      <w:r>
        <w:rPr>
          <w:rFonts w:ascii="Times New Roman" w:hAnsi="Times New Roman"/>
          <w:sz w:val="28"/>
          <w:szCs w:val="28"/>
          <w:lang w:val="en-US"/>
        </w:rPr>
        <w:t xml:space="preserve"> to</w:t>
      </w:r>
      <w:r w:rsidRPr="002B43CD">
        <w:rPr>
          <w:rFonts w:ascii="Times New Roman" w:hAnsi="Times New Roman"/>
          <w:sz w:val="28"/>
          <w:szCs w:val="28"/>
          <w:lang w:val="en-US"/>
        </w:rPr>
        <w:t xml:space="preserve"> information about drugs from materials of scientific conferences and to medical representatives.</w:t>
      </w:r>
      <w:r>
        <w:rPr>
          <w:rFonts w:ascii="Times New Roman" w:hAnsi="Times New Roman"/>
          <w:sz w:val="28"/>
          <w:szCs w:val="28"/>
          <w:lang w:val="en-US"/>
        </w:rPr>
        <w:t xml:space="preserve"> </w:t>
      </w:r>
      <w:r w:rsidRPr="002B43CD">
        <w:rPr>
          <w:rFonts w:ascii="Times New Roman" w:hAnsi="Times New Roman"/>
          <w:sz w:val="28"/>
          <w:szCs w:val="28"/>
          <w:lang w:val="en-US"/>
        </w:rPr>
        <w:t>The least attention is paid to the</w:t>
      </w:r>
      <w:r>
        <w:rPr>
          <w:rFonts w:ascii="Times New Roman" w:hAnsi="Times New Roman"/>
          <w:sz w:val="28"/>
          <w:szCs w:val="28"/>
          <w:lang w:val="en-US"/>
        </w:rPr>
        <w:t xml:space="preserve"> </w:t>
      </w:r>
      <w:r w:rsidRPr="00DB3248">
        <w:rPr>
          <w:rFonts w:ascii="Times New Roman" w:hAnsi="Times New Roman"/>
          <w:sz w:val="28"/>
          <w:szCs w:val="28"/>
          <w:lang w:val="en-US"/>
        </w:rPr>
        <w:t>National Formulary of medicines in Ukraine</w:t>
      </w:r>
      <w:r>
        <w:rPr>
          <w:rFonts w:ascii="Times New Roman" w:hAnsi="Times New Roman"/>
          <w:sz w:val="28"/>
          <w:szCs w:val="28"/>
          <w:lang w:val="en-US"/>
        </w:rPr>
        <w:t>.</w:t>
      </w:r>
    </w:p>
    <w:p w:rsidR="00396A37" w:rsidRPr="002117D3" w:rsidRDefault="00396A37" w:rsidP="006214EE">
      <w:pPr>
        <w:spacing w:after="0" w:line="360" w:lineRule="auto"/>
        <w:ind w:firstLine="709"/>
        <w:jc w:val="both"/>
        <w:rPr>
          <w:rFonts w:ascii="Times New Roman" w:hAnsi="Times New Roman"/>
          <w:b/>
          <w:sz w:val="28"/>
          <w:szCs w:val="28"/>
          <w:lang w:val="en-US"/>
        </w:rPr>
      </w:pPr>
      <w:r w:rsidRPr="002117D3">
        <w:rPr>
          <w:rFonts w:ascii="Times New Roman" w:hAnsi="Times New Roman"/>
          <w:b/>
          <w:sz w:val="28"/>
          <w:szCs w:val="28"/>
          <w:lang w:val="en-US"/>
        </w:rPr>
        <w:t>Conclusions</w:t>
      </w:r>
    </w:p>
    <w:p w:rsidR="00396A37" w:rsidRDefault="00396A37" w:rsidP="006214EE">
      <w:pPr>
        <w:spacing w:after="0" w:line="360" w:lineRule="auto"/>
        <w:ind w:firstLine="709"/>
        <w:jc w:val="both"/>
        <w:rPr>
          <w:rFonts w:ascii="Times New Roman" w:hAnsi="Times New Roman"/>
          <w:sz w:val="28"/>
          <w:szCs w:val="28"/>
          <w:lang w:val="en-US"/>
        </w:rPr>
      </w:pPr>
      <w:r w:rsidRPr="002400B2">
        <w:rPr>
          <w:rFonts w:ascii="Times New Roman" w:hAnsi="Times New Roman"/>
          <w:sz w:val="28"/>
          <w:szCs w:val="28"/>
          <w:lang w:val="en-US"/>
        </w:rPr>
        <w:t>Not full use of nomenclature drugs by doctors may be caused by insufficient informing of available medicines on the pharmaceutical market of Ukraine.</w:t>
      </w:r>
      <w:r>
        <w:rPr>
          <w:rFonts w:ascii="Times New Roman" w:hAnsi="Times New Roman"/>
          <w:sz w:val="28"/>
          <w:szCs w:val="28"/>
          <w:lang w:val="en-US"/>
        </w:rPr>
        <w:t xml:space="preserve"> </w:t>
      </w:r>
    </w:p>
    <w:p w:rsidR="00396A37" w:rsidRDefault="00396A37" w:rsidP="006214EE">
      <w:pPr>
        <w:spacing w:after="0" w:line="360" w:lineRule="auto"/>
        <w:ind w:firstLine="709"/>
        <w:jc w:val="both"/>
        <w:rPr>
          <w:rFonts w:ascii="Times New Roman" w:hAnsi="Times New Roman"/>
          <w:sz w:val="28"/>
          <w:szCs w:val="28"/>
          <w:lang w:val="en-US"/>
        </w:rPr>
      </w:pPr>
      <w:r w:rsidRPr="002400B2">
        <w:rPr>
          <w:rFonts w:ascii="Times New Roman" w:hAnsi="Times New Roman"/>
          <w:sz w:val="28"/>
          <w:szCs w:val="28"/>
          <w:lang w:val="en-US"/>
        </w:rPr>
        <w:t>The quality of treatment and prevention of such socially significant diseases as thyroid pathologies largely depends on the availability of drugs.</w:t>
      </w:r>
    </w:p>
    <w:p w:rsidR="00396A37" w:rsidRDefault="00396A37" w:rsidP="006214EE">
      <w:pPr>
        <w:spacing w:after="0" w:line="360" w:lineRule="auto"/>
        <w:ind w:firstLine="709"/>
        <w:jc w:val="both"/>
        <w:rPr>
          <w:rFonts w:ascii="Times New Roman" w:hAnsi="Times New Roman"/>
          <w:sz w:val="28"/>
          <w:szCs w:val="28"/>
          <w:lang w:val="uk-UA"/>
        </w:rPr>
      </w:pPr>
    </w:p>
    <w:p w:rsidR="00396A37" w:rsidRPr="00E62FC1" w:rsidRDefault="00396A37" w:rsidP="006214EE">
      <w:pPr>
        <w:spacing w:after="0" w:line="360" w:lineRule="auto"/>
        <w:ind w:firstLine="709"/>
        <w:jc w:val="both"/>
        <w:rPr>
          <w:rFonts w:ascii="Times New Roman" w:hAnsi="Times New Roman"/>
          <w:b/>
          <w:sz w:val="28"/>
          <w:szCs w:val="28"/>
          <w:lang w:val="en-US"/>
        </w:rPr>
      </w:pPr>
      <w:r w:rsidRPr="00E62FC1">
        <w:rPr>
          <w:rFonts w:ascii="Times New Roman" w:hAnsi="Times New Roman"/>
          <w:b/>
          <w:sz w:val="28"/>
          <w:szCs w:val="28"/>
          <w:lang w:val="en-US"/>
        </w:rPr>
        <w:t>References</w:t>
      </w:r>
    </w:p>
    <w:p w:rsidR="00396A37" w:rsidRDefault="00396A37" w:rsidP="006214EE">
      <w:pPr>
        <w:pStyle w:val="ListParagraph"/>
        <w:numPr>
          <w:ilvl w:val="0"/>
          <w:numId w:val="5"/>
        </w:numPr>
        <w:spacing w:after="0" w:line="360" w:lineRule="auto"/>
        <w:jc w:val="both"/>
        <w:rPr>
          <w:rFonts w:ascii="Times New Roman" w:hAnsi="Times New Roman"/>
          <w:sz w:val="28"/>
          <w:szCs w:val="28"/>
        </w:rPr>
      </w:pPr>
      <w:r w:rsidRPr="00ED1B81">
        <w:rPr>
          <w:rFonts w:ascii="Times New Roman" w:hAnsi="Times New Roman"/>
          <w:sz w:val="28"/>
          <w:szCs w:val="28"/>
        </w:rPr>
        <w:t xml:space="preserve">Завгородня Т.П. Методи прогнозування [Електронний ресурс] / Т.П. Завгородня. – Режим доступу: </w:t>
      </w:r>
      <w:hyperlink r:id="rId14" w:history="1">
        <w:r w:rsidRPr="00162DA5">
          <w:rPr>
            <w:rFonts w:ascii="Times New Roman" w:hAnsi="Times New Roman"/>
            <w:sz w:val="28"/>
            <w:szCs w:val="28"/>
          </w:rPr>
          <w:t>http://lubbook.net/book_251.html. – 2014</w:t>
        </w:r>
      </w:hyperlink>
      <w:r w:rsidRPr="00162DA5">
        <w:rPr>
          <w:rFonts w:ascii="Times New Roman" w:hAnsi="Times New Roman"/>
          <w:sz w:val="28"/>
          <w:szCs w:val="28"/>
        </w:rPr>
        <w:t>.</w:t>
      </w:r>
    </w:p>
    <w:p w:rsidR="00396A37" w:rsidRDefault="00396A37" w:rsidP="006214EE">
      <w:pPr>
        <w:pStyle w:val="ListParagraph"/>
        <w:numPr>
          <w:ilvl w:val="0"/>
          <w:numId w:val="5"/>
        </w:numPr>
        <w:spacing w:after="0" w:line="360" w:lineRule="auto"/>
        <w:jc w:val="both"/>
        <w:rPr>
          <w:rFonts w:ascii="Times New Roman" w:hAnsi="Times New Roman"/>
          <w:sz w:val="28"/>
          <w:szCs w:val="28"/>
        </w:rPr>
      </w:pPr>
      <w:r w:rsidRPr="00ED1B81">
        <w:rPr>
          <w:rFonts w:ascii="Times New Roman" w:hAnsi="Times New Roman"/>
          <w:sz w:val="28"/>
          <w:szCs w:val="28"/>
        </w:rPr>
        <w:t>Колкутин В.В. Об отборе экспертов для анализа конкурентоспособности аппаратно-технических средств для проведения судебных экспертиз</w:t>
      </w:r>
      <w:r w:rsidRPr="00162DA5">
        <w:rPr>
          <w:rFonts w:ascii="Times New Roman" w:hAnsi="Times New Roman"/>
          <w:sz w:val="28"/>
          <w:szCs w:val="28"/>
        </w:rPr>
        <w:t xml:space="preserve"> </w:t>
      </w:r>
      <w:r w:rsidRPr="00ED1B81">
        <w:rPr>
          <w:rFonts w:ascii="Times New Roman" w:hAnsi="Times New Roman"/>
          <w:sz w:val="28"/>
          <w:szCs w:val="28"/>
        </w:rPr>
        <w:t>/ В.В. Колкутин</w:t>
      </w:r>
      <w:r>
        <w:rPr>
          <w:rFonts w:ascii="Times New Roman" w:hAnsi="Times New Roman"/>
          <w:sz w:val="28"/>
          <w:szCs w:val="28"/>
        </w:rPr>
        <w:t>, П.В</w:t>
      </w:r>
      <w:r w:rsidRPr="00162DA5">
        <w:rPr>
          <w:rFonts w:ascii="Times New Roman" w:hAnsi="Times New Roman"/>
          <w:sz w:val="28"/>
          <w:szCs w:val="28"/>
        </w:rPr>
        <w:t>.</w:t>
      </w:r>
      <w:r w:rsidRPr="00ED1B81">
        <w:rPr>
          <w:rFonts w:ascii="Times New Roman" w:hAnsi="Times New Roman"/>
          <w:sz w:val="28"/>
          <w:szCs w:val="28"/>
        </w:rPr>
        <w:t xml:space="preserve"> Пинчук, О.А. Васнецова // </w:t>
      </w:r>
      <w:hyperlink r:id="rId15" w:history="1">
        <w:r w:rsidRPr="00ED1B81">
          <w:rPr>
            <w:rFonts w:ascii="Times New Roman" w:hAnsi="Times New Roman"/>
            <w:sz w:val="28"/>
            <w:szCs w:val="28"/>
          </w:rPr>
          <w:t>Проблемы экспертизы в медицине</w:t>
        </w:r>
      </w:hyperlink>
      <w:r w:rsidRPr="00ED1B81">
        <w:rPr>
          <w:rFonts w:ascii="Times New Roman" w:hAnsi="Times New Roman"/>
          <w:sz w:val="28"/>
          <w:szCs w:val="28"/>
        </w:rPr>
        <w:t>. – 2005. - № 17-1 (том 5). – С. 5-8.</w:t>
      </w:r>
    </w:p>
    <w:p w:rsidR="00396A37" w:rsidRDefault="00396A37" w:rsidP="006214EE">
      <w:pPr>
        <w:pStyle w:val="ListParagraph"/>
        <w:numPr>
          <w:ilvl w:val="0"/>
          <w:numId w:val="5"/>
        </w:numPr>
        <w:spacing w:after="0" w:line="360" w:lineRule="auto"/>
        <w:jc w:val="both"/>
        <w:rPr>
          <w:rFonts w:ascii="Times New Roman" w:hAnsi="Times New Roman"/>
          <w:sz w:val="28"/>
          <w:szCs w:val="28"/>
        </w:rPr>
      </w:pPr>
      <w:r>
        <w:rPr>
          <w:rFonts w:ascii="Times New Roman" w:hAnsi="Times New Roman"/>
          <w:sz w:val="28"/>
          <w:szCs w:val="28"/>
        </w:rPr>
        <w:t>Левицька О.</w:t>
      </w:r>
      <w:r w:rsidRPr="00ED1B81">
        <w:rPr>
          <w:rFonts w:ascii="Times New Roman" w:hAnsi="Times New Roman"/>
          <w:sz w:val="28"/>
          <w:szCs w:val="28"/>
        </w:rPr>
        <w:t>Р. Експертна оцінка лікарських засобів, які призначені для фар</w:t>
      </w:r>
      <w:r>
        <w:rPr>
          <w:rFonts w:ascii="Times New Roman" w:hAnsi="Times New Roman"/>
          <w:sz w:val="28"/>
          <w:szCs w:val="28"/>
        </w:rPr>
        <w:t>макотерапії інфаркту мозку / О.Р. Левицька, Б.П. Громовик, Н.П.Яворська, Г.М.</w:t>
      </w:r>
      <w:r w:rsidRPr="00ED1B81">
        <w:rPr>
          <w:rFonts w:ascii="Times New Roman" w:hAnsi="Times New Roman"/>
          <w:sz w:val="28"/>
          <w:szCs w:val="28"/>
        </w:rPr>
        <w:t>Пришляк // Управління, економіка та забезпечення якості в фармації. – 2011. – № 6(20). – С. 52-58</w:t>
      </w:r>
      <w:r>
        <w:rPr>
          <w:rFonts w:ascii="Times New Roman" w:hAnsi="Times New Roman"/>
          <w:sz w:val="28"/>
          <w:szCs w:val="28"/>
        </w:rPr>
        <w:t>.</w:t>
      </w:r>
    </w:p>
    <w:p w:rsidR="00396A37" w:rsidRPr="00E62FC1" w:rsidRDefault="00396A37" w:rsidP="006214EE">
      <w:pPr>
        <w:pStyle w:val="ListParagraph"/>
        <w:numPr>
          <w:ilvl w:val="0"/>
          <w:numId w:val="5"/>
        </w:numPr>
        <w:spacing w:after="0" w:line="360" w:lineRule="auto"/>
        <w:jc w:val="both"/>
        <w:rPr>
          <w:rFonts w:ascii="Times New Roman" w:hAnsi="Times New Roman"/>
          <w:sz w:val="28"/>
          <w:szCs w:val="28"/>
        </w:rPr>
      </w:pPr>
      <w:r w:rsidRPr="00ED1B81">
        <w:rPr>
          <w:rFonts w:ascii="Times New Roman" w:hAnsi="Times New Roman"/>
          <w:sz w:val="28"/>
          <w:szCs w:val="28"/>
        </w:rPr>
        <w:t>Максимкина Е.А. Конкурентоспособность фармацевтические организации в условиях рынка / Е.А. Максимкина, Е.Е. Лоскутова, В.В.Дорофеева - М: МЦФЭР, 1999. - 256 с.</w:t>
      </w:r>
    </w:p>
    <w:p w:rsidR="00396A37" w:rsidRDefault="00396A37" w:rsidP="00E62FC1">
      <w:pPr>
        <w:pStyle w:val="ListParagraph"/>
        <w:numPr>
          <w:ilvl w:val="0"/>
          <w:numId w:val="5"/>
        </w:numPr>
        <w:spacing w:after="0" w:line="360" w:lineRule="auto"/>
        <w:jc w:val="both"/>
        <w:rPr>
          <w:rFonts w:ascii="Times New Roman" w:hAnsi="Times New Roman"/>
          <w:sz w:val="28"/>
          <w:szCs w:val="28"/>
        </w:rPr>
      </w:pPr>
      <w:r w:rsidRPr="00571BE7">
        <w:rPr>
          <w:rFonts w:ascii="Times New Roman" w:hAnsi="Times New Roman"/>
          <w:sz w:val="28"/>
          <w:szCs w:val="28"/>
          <w:lang w:eastAsia="uk-UA"/>
        </w:rPr>
        <w:t>Митник З. М. Стан ендокринологічної служби України в 2007 р. / З. М. Митник, Д. М. Панова, З. Г. Крушинська [та ін.] // Міжнародний ендокринологічний журнал. – 2008. – № 3(15). – С. 8-15.</w:t>
      </w:r>
    </w:p>
    <w:p w:rsidR="00396A37" w:rsidRDefault="00396A37" w:rsidP="00E62FC1">
      <w:pPr>
        <w:pStyle w:val="ListParagraph"/>
        <w:numPr>
          <w:ilvl w:val="0"/>
          <w:numId w:val="5"/>
        </w:numPr>
        <w:spacing w:after="0" w:line="360" w:lineRule="auto"/>
        <w:jc w:val="both"/>
        <w:rPr>
          <w:rFonts w:ascii="Times New Roman" w:hAnsi="Times New Roman"/>
          <w:sz w:val="28"/>
          <w:szCs w:val="28"/>
        </w:rPr>
      </w:pPr>
      <w:r w:rsidRPr="00571BE7">
        <w:rPr>
          <w:rFonts w:ascii="Times New Roman" w:hAnsi="Times New Roman"/>
          <w:sz w:val="28"/>
          <w:szCs w:val="28"/>
        </w:rPr>
        <w:t xml:space="preserve">Січінава Р.М. Сучасні аспекти динаміки ендокринної патології серед військовослужбовців ЗС України / Р.М. Січінава, Б.І. Паламар, О.М. Іванько, В.В. Якимець // Вісник проблем біології і медицини. – 2014. – Т. 3 (112), № 3. – С. 192-195. </w:t>
      </w:r>
      <w:r w:rsidRPr="00571BE7">
        <w:rPr>
          <w:rFonts w:ascii="Times New Roman" w:hAnsi="Times New Roman"/>
          <w:sz w:val="28"/>
          <w:szCs w:val="28"/>
          <w:lang w:eastAsia="uk-UA"/>
        </w:rPr>
        <w:t xml:space="preserve"> </w:t>
      </w:r>
    </w:p>
    <w:p w:rsidR="00396A37" w:rsidRPr="00571BE7" w:rsidRDefault="00396A37" w:rsidP="00E62FC1">
      <w:pPr>
        <w:pStyle w:val="ListParagraph"/>
        <w:numPr>
          <w:ilvl w:val="0"/>
          <w:numId w:val="5"/>
        </w:numPr>
        <w:spacing w:after="0" w:line="360" w:lineRule="auto"/>
        <w:jc w:val="both"/>
        <w:rPr>
          <w:rFonts w:ascii="Times New Roman" w:hAnsi="Times New Roman"/>
          <w:sz w:val="28"/>
          <w:szCs w:val="28"/>
        </w:rPr>
      </w:pPr>
      <w:r w:rsidRPr="00571BE7">
        <w:rPr>
          <w:rFonts w:ascii="Times New Roman" w:hAnsi="Times New Roman"/>
          <w:sz w:val="28"/>
          <w:szCs w:val="28"/>
          <w:lang w:eastAsia="uk-UA"/>
        </w:rPr>
        <w:t>Тронько Н. Д. Рак щитовидной железы у детей / Н. Д. Тронько. – Чернобыльинтеринформ, 1997. – 199 с.</w:t>
      </w:r>
    </w:p>
    <w:p w:rsidR="00396A37" w:rsidRPr="00E62FC1" w:rsidRDefault="00396A37" w:rsidP="00E62FC1">
      <w:pPr>
        <w:pStyle w:val="ListParagraph"/>
        <w:numPr>
          <w:ilvl w:val="0"/>
          <w:numId w:val="5"/>
        </w:numPr>
        <w:spacing w:after="0" w:line="360" w:lineRule="auto"/>
        <w:jc w:val="both"/>
        <w:rPr>
          <w:rFonts w:ascii="Times New Roman" w:hAnsi="Times New Roman"/>
          <w:sz w:val="28"/>
          <w:szCs w:val="28"/>
        </w:rPr>
      </w:pPr>
      <w:r w:rsidRPr="00571BE7">
        <w:rPr>
          <w:rFonts w:ascii="Times New Roman" w:hAnsi="Times New Roman"/>
          <w:sz w:val="28"/>
          <w:szCs w:val="28"/>
        </w:rPr>
        <w:t xml:space="preserve">Хвороби щитоподібної залози. Довідник цікавих фактів та корисних знань. – Режим доступу: </w:t>
      </w:r>
      <w:hyperlink r:id="rId16" w:history="1">
        <w:r w:rsidRPr="00571BE7">
          <w:rPr>
            <w:rFonts w:ascii="Times New Roman" w:hAnsi="Times New Roman"/>
            <w:sz w:val="28"/>
            <w:szCs w:val="28"/>
          </w:rPr>
          <w:t>http://dovidka.biz.ua/hvorobi-shhitopodibnoyi-zalozi-zalozi/</w:t>
        </w:r>
      </w:hyperlink>
    </w:p>
    <w:p w:rsidR="00396A37" w:rsidRDefault="00396A37" w:rsidP="006214EE">
      <w:pPr>
        <w:spacing w:after="0" w:line="360" w:lineRule="auto"/>
        <w:ind w:firstLine="709"/>
        <w:jc w:val="both"/>
        <w:rPr>
          <w:rFonts w:ascii="Times New Roman" w:hAnsi="Times New Roman"/>
          <w:sz w:val="28"/>
          <w:szCs w:val="28"/>
          <w:lang w:val="uk-UA"/>
        </w:rPr>
      </w:pPr>
    </w:p>
    <w:p w:rsidR="00396A37" w:rsidRPr="000472C5" w:rsidRDefault="00396A37" w:rsidP="000472C5">
      <w:pPr>
        <w:jc w:val="both"/>
        <w:rPr>
          <w:rFonts w:ascii="Times New Roman" w:hAnsi="Times New Roman"/>
          <w:sz w:val="24"/>
          <w:szCs w:val="24"/>
          <w:shd w:val="clear" w:color="auto" w:fill="FFFFFF"/>
          <w:lang w:val="en-US"/>
        </w:rPr>
      </w:pPr>
      <w:r>
        <w:rPr>
          <w:rFonts w:ascii="Times New Roman" w:hAnsi="Times New Roman"/>
          <w:sz w:val="28"/>
          <w:szCs w:val="28"/>
          <w:lang w:val="uk-UA"/>
        </w:rPr>
        <w:br w:type="page"/>
      </w:r>
      <w:r w:rsidRPr="000472C5">
        <w:rPr>
          <w:rFonts w:ascii="Times New Roman" w:hAnsi="Times New Roman"/>
          <w:sz w:val="24"/>
          <w:szCs w:val="24"/>
          <w:shd w:val="clear" w:color="auto" w:fill="FFFFFF"/>
          <w:lang w:val="en-US"/>
        </w:rPr>
        <w:t>Professor, Doctor of Biological Sciences Klishch Ivan Mykolaiovych</w:t>
      </w:r>
    </w:p>
    <w:p w:rsidR="00396A37" w:rsidRPr="000472C5" w:rsidRDefault="00396A37" w:rsidP="000472C5">
      <w:pPr>
        <w:jc w:val="both"/>
        <w:rPr>
          <w:rFonts w:ascii="Times New Roman" w:hAnsi="Times New Roman"/>
          <w:sz w:val="24"/>
          <w:szCs w:val="24"/>
          <w:shd w:val="clear" w:color="auto" w:fill="FFFFFF"/>
          <w:lang w:val="en-US"/>
        </w:rPr>
      </w:pPr>
      <w:r w:rsidRPr="000472C5">
        <w:rPr>
          <w:rFonts w:ascii="Times New Roman" w:hAnsi="Times New Roman"/>
          <w:sz w:val="24"/>
          <w:szCs w:val="24"/>
          <w:shd w:val="clear" w:color="auto" w:fill="FFFFFF"/>
          <w:lang w:val="en-US"/>
        </w:rPr>
        <w:t>Ternopil State Medical University</w:t>
      </w:r>
    </w:p>
    <w:p w:rsidR="00396A37" w:rsidRPr="000472C5" w:rsidRDefault="00396A37" w:rsidP="000472C5">
      <w:pPr>
        <w:jc w:val="both"/>
        <w:rPr>
          <w:rFonts w:ascii="Times New Roman" w:hAnsi="Times New Roman"/>
          <w:sz w:val="24"/>
          <w:szCs w:val="24"/>
          <w:shd w:val="clear" w:color="auto" w:fill="FFFFFF"/>
          <w:lang w:val="en-US"/>
        </w:rPr>
      </w:pPr>
      <w:r w:rsidRPr="000472C5">
        <w:rPr>
          <w:rFonts w:ascii="Times New Roman" w:hAnsi="Times New Roman"/>
          <w:sz w:val="24"/>
          <w:szCs w:val="24"/>
          <w:shd w:val="clear" w:color="auto" w:fill="FFFFFF"/>
          <w:lang w:val="en-US"/>
        </w:rPr>
        <w:t>1 Maidan Voli</w:t>
      </w:r>
    </w:p>
    <w:p w:rsidR="00396A37" w:rsidRPr="000472C5" w:rsidRDefault="00396A37" w:rsidP="000472C5">
      <w:pPr>
        <w:jc w:val="both"/>
        <w:rPr>
          <w:rFonts w:ascii="Times New Roman" w:hAnsi="Times New Roman"/>
          <w:sz w:val="24"/>
          <w:szCs w:val="24"/>
          <w:shd w:val="clear" w:color="auto" w:fill="FFFFFF"/>
          <w:lang w:val="en-US"/>
        </w:rPr>
      </w:pPr>
      <w:r w:rsidRPr="000472C5">
        <w:rPr>
          <w:rFonts w:ascii="Times New Roman" w:hAnsi="Times New Roman"/>
          <w:sz w:val="24"/>
          <w:szCs w:val="24"/>
          <w:shd w:val="clear" w:color="auto" w:fill="FFFFFF"/>
          <w:lang w:val="en-US"/>
        </w:rPr>
        <w:t>Ternopil, 46003</w:t>
      </w:r>
    </w:p>
    <w:p w:rsidR="00396A37" w:rsidRPr="000472C5" w:rsidRDefault="00396A37" w:rsidP="000472C5">
      <w:pPr>
        <w:jc w:val="both"/>
        <w:rPr>
          <w:rFonts w:ascii="Times New Roman" w:hAnsi="Times New Roman"/>
          <w:sz w:val="24"/>
          <w:szCs w:val="24"/>
          <w:shd w:val="clear" w:color="auto" w:fill="FFFFFF"/>
          <w:lang w:val="en-US"/>
        </w:rPr>
      </w:pPr>
      <w:r w:rsidRPr="000472C5">
        <w:rPr>
          <w:rFonts w:ascii="Times New Roman" w:hAnsi="Times New Roman"/>
          <w:sz w:val="24"/>
          <w:szCs w:val="24"/>
          <w:shd w:val="clear" w:color="auto" w:fill="FFFFFF"/>
          <w:lang w:val="uk-UA"/>
        </w:rPr>
        <w:t xml:space="preserve">Master of Clinical Pharmacy </w:t>
      </w:r>
      <w:r w:rsidRPr="000472C5">
        <w:rPr>
          <w:rFonts w:ascii="Times New Roman" w:hAnsi="Times New Roman"/>
          <w:sz w:val="24"/>
          <w:szCs w:val="24"/>
          <w:shd w:val="clear" w:color="auto" w:fill="FFFFFF"/>
          <w:lang w:val="en-US"/>
        </w:rPr>
        <w:t>Zabihaylo Yulia Stepanivna</w:t>
      </w:r>
    </w:p>
    <w:p w:rsidR="00396A37" w:rsidRPr="000472C5" w:rsidRDefault="00396A37" w:rsidP="000472C5">
      <w:pPr>
        <w:jc w:val="both"/>
        <w:rPr>
          <w:rFonts w:ascii="Times New Roman" w:hAnsi="Times New Roman"/>
          <w:sz w:val="24"/>
          <w:szCs w:val="24"/>
          <w:shd w:val="clear" w:color="auto" w:fill="FFFFFF"/>
          <w:lang w:val="en-US"/>
        </w:rPr>
      </w:pPr>
      <w:r w:rsidRPr="000472C5">
        <w:rPr>
          <w:rFonts w:ascii="Times New Roman" w:hAnsi="Times New Roman"/>
          <w:sz w:val="24"/>
          <w:szCs w:val="24"/>
          <w:shd w:val="clear" w:color="auto" w:fill="FFFFFF"/>
          <w:lang w:val="en-US"/>
        </w:rPr>
        <w:t>Ternopil State Medical University</w:t>
      </w:r>
    </w:p>
    <w:p w:rsidR="00396A37" w:rsidRPr="000472C5" w:rsidRDefault="00396A37" w:rsidP="000472C5">
      <w:pPr>
        <w:jc w:val="both"/>
        <w:rPr>
          <w:rFonts w:ascii="Times New Roman" w:hAnsi="Times New Roman"/>
          <w:sz w:val="24"/>
          <w:szCs w:val="24"/>
          <w:shd w:val="clear" w:color="auto" w:fill="FFFFFF"/>
          <w:lang w:val="en-US"/>
        </w:rPr>
      </w:pPr>
      <w:r w:rsidRPr="000472C5">
        <w:rPr>
          <w:rFonts w:ascii="Times New Roman" w:hAnsi="Times New Roman"/>
          <w:sz w:val="24"/>
          <w:szCs w:val="24"/>
          <w:shd w:val="clear" w:color="auto" w:fill="FFFFFF"/>
          <w:lang w:val="en-US"/>
        </w:rPr>
        <w:t>5 Nalivaika street</w:t>
      </w:r>
    </w:p>
    <w:p w:rsidR="00396A37" w:rsidRPr="000472C5" w:rsidRDefault="00396A37" w:rsidP="000472C5">
      <w:pPr>
        <w:jc w:val="both"/>
        <w:rPr>
          <w:rFonts w:ascii="Times New Roman" w:hAnsi="Times New Roman"/>
          <w:sz w:val="24"/>
          <w:szCs w:val="24"/>
          <w:shd w:val="clear" w:color="auto" w:fill="FFFFFF"/>
          <w:lang w:val="en-US"/>
        </w:rPr>
      </w:pPr>
      <w:r w:rsidRPr="000472C5">
        <w:rPr>
          <w:rFonts w:ascii="Times New Roman" w:hAnsi="Times New Roman"/>
          <w:sz w:val="24"/>
          <w:szCs w:val="24"/>
          <w:shd w:val="clear" w:color="auto" w:fill="FFFFFF"/>
          <w:lang w:val="en-US"/>
        </w:rPr>
        <w:t>Ternopil, 46003</w:t>
      </w:r>
    </w:p>
    <w:p w:rsidR="00396A37" w:rsidRPr="000472C5" w:rsidRDefault="00396A37" w:rsidP="000472C5">
      <w:pPr>
        <w:jc w:val="both"/>
        <w:rPr>
          <w:rFonts w:ascii="Times New Roman" w:hAnsi="Times New Roman"/>
          <w:sz w:val="24"/>
          <w:szCs w:val="24"/>
          <w:shd w:val="clear" w:color="auto" w:fill="FFFFFF"/>
          <w:lang w:val="en-US"/>
        </w:rPr>
      </w:pPr>
      <w:r w:rsidRPr="000472C5">
        <w:rPr>
          <w:rFonts w:ascii="Times New Roman" w:hAnsi="Times New Roman"/>
          <w:sz w:val="24"/>
          <w:szCs w:val="24"/>
          <w:shd w:val="clear" w:color="auto" w:fill="FFFFFF"/>
          <w:lang w:val="en-US"/>
        </w:rPr>
        <w:t>E</w:t>
      </w:r>
      <w:r w:rsidRPr="000472C5">
        <w:rPr>
          <w:rFonts w:ascii="Times New Roman" w:hAnsi="Times New Roman"/>
          <w:sz w:val="24"/>
          <w:szCs w:val="24"/>
          <w:shd w:val="clear" w:color="auto" w:fill="FFFFFF"/>
          <w:lang w:val="uk-UA"/>
        </w:rPr>
        <w:t>-</w:t>
      </w:r>
      <w:r w:rsidRPr="000472C5">
        <w:rPr>
          <w:rFonts w:ascii="Times New Roman" w:hAnsi="Times New Roman"/>
          <w:sz w:val="24"/>
          <w:szCs w:val="24"/>
          <w:shd w:val="clear" w:color="auto" w:fill="FFFFFF"/>
          <w:lang w:val="en-US"/>
        </w:rPr>
        <w:t>mail</w:t>
      </w:r>
      <w:r w:rsidRPr="000472C5">
        <w:rPr>
          <w:rFonts w:ascii="Times New Roman" w:hAnsi="Times New Roman"/>
          <w:sz w:val="24"/>
          <w:szCs w:val="24"/>
          <w:shd w:val="clear" w:color="auto" w:fill="FFFFFF"/>
          <w:lang w:val="uk-UA"/>
        </w:rPr>
        <w:t xml:space="preserve">: </w:t>
      </w:r>
      <w:hyperlink r:id="rId17" w:history="1">
        <w:r w:rsidRPr="000472C5">
          <w:rPr>
            <w:rStyle w:val="Hyperlink"/>
            <w:rFonts w:ascii="Times New Roman" w:hAnsi="Times New Roman"/>
            <w:sz w:val="24"/>
            <w:szCs w:val="24"/>
            <w:shd w:val="clear" w:color="auto" w:fill="FFFFFF"/>
            <w:lang w:val="en-US"/>
          </w:rPr>
          <w:t>yuliavadziuk@mail.ru</w:t>
        </w:r>
      </w:hyperlink>
      <w:r w:rsidRPr="000472C5">
        <w:rPr>
          <w:rFonts w:ascii="Times New Roman" w:hAnsi="Times New Roman"/>
          <w:sz w:val="24"/>
          <w:szCs w:val="24"/>
          <w:shd w:val="clear" w:color="auto" w:fill="FFFFFF"/>
          <w:lang w:val="en-US"/>
        </w:rPr>
        <w:t xml:space="preserve"> </w:t>
      </w:r>
    </w:p>
    <w:p w:rsidR="00396A37" w:rsidRPr="000472C5" w:rsidRDefault="00396A37" w:rsidP="006214EE">
      <w:pPr>
        <w:spacing w:after="0" w:line="360" w:lineRule="auto"/>
        <w:ind w:firstLine="709"/>
        <w:jc w:val="both"/>
        <w:rPr>
          <w:rFonts w:ascii="Times New Roman" w:hAnsi="Times New Roman"/>
          <w:sz w:val="28"/>
          <w:szCs w:val="28"/>
          <w:lang w:val="uk-UA"/>
        </w:rPr>
      </w:pPr>
    </w:p>
    <w:sectPr w:rsidR="00396A37" w:rsidRPr="000472C5" w:rsidSect="003A5479">
      <w:footerReference w:type="default" r:id="rId1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37" w:rsidRDefault="00396A37" w:rsidP="009E4EF6">
      <w:pPr>
        <w:spacing w:after="0" w:line="240" w:lineRule="auto"/>
      </w:pPr>
      <w:r>
        <w:separator/>
      </w:r>
    </w:p>
  </w:endnote>
  <w:endnote w:type="continuationSeparator" w:id="0">
    <w:p w:rsidR="00396A37" w:rsidRDefault="00396A37" w:rsidP="009E4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37" w:rsidRDefault="00396A37" w:rsidP="0078340A">
    <w:pPr>
      <w:pStyle w:val="Footer"/>
      <w:jc w:val="right"/>
    </w:pPr>
    <w:fldSimple w:instr="PAGE   \* MERGEFORMAT">
      <w:r>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37" w:rsidRDefault="00396A37" w:rsidP="009E4EF6">
      <w:pPr>
        <w:spacing w:after="0" w:line="240" w:lineRule="auto"/>
      </w:pPr>
      <w:r>
        <w:separator/>
      </w:r>
    </w:p>
  </w:footnote>
  <w:footnote w:type="continuationSeparator" w:id="0">
    <w:p w:rsidR="00396A37" w:rsidRDefault="00396A37" w:rsidP="009E4E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5961"/>
    <w:multiLevelType w:val="hybridMultilevel"/>
    <w:tmpl w:val="371EE500"/>
    <w:lvl w:ilvl="0" w:tplc="9D6225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CA77A15"/>
    <w:multiLevelType w:val="hybridMultilevel"/>
    <w:tmpl w:val="2CA29D84"/>
    <w:lvl w:ilvl="0" w:tplc="4162C6A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551966A0"/>
    <w:multiLevelType w:val="hybridMultilevel"/>
    <w:tmpl w:val="D9E24758"/>
    <w:lvl w:ilvl="0" w:tplc="C0B67A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DF06666"/>
    <w:multiLevelType w:val="hybridMultilevel"/>
    <w:tmpl w:val="13F4E088"/>
    <w:lvl w:ilvl="0" w:tplc="39BAFAAA">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F5D7869"/>
    <w:multiLevelType w:val="hybridMultilevel"/>
    <w:tmpl w:val="A96C1FDC"/>
    <w:lvl w:ilvl="0" w:tplc="013010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636A"/>
    <w:rsid w:val="000005EB"/>
    <w:rsid w:val="00000E83"/>
    <w:rsid w:val="00002F59"/>
    <w:rsid w:val="00002F6F"/>
    <w:rsid w:val="0000348A"/>
    <w:rsid w:val="000319C1"/>
    <w:rsid w:val="00040359"/>
    <w:rsid w:val="000451FF"/>
    <w:rsid w:val="000472C5"/>
    <w:rsid w:val="0005327F"/>
    <w:rsid w:val="00055743"/>
    <w:rsid w:val="00056209"/>
    <w:rsid w:val="000708A6"/>
    <w:rsid w:val="0007796C"/>
    <w:rsid w:val="000811C4"/>
    <w:rsid w:val="00091398"/>
    <w:rsid w:val="000923A9"/>
    <w:rsid w:val="00097FB5"/>
    <w:rsid w:val="000A35C2"/>
    <w:rsid w:val="000B1EF3"/>
    <w:rsid w:val="000B357C"/>
    <w:rsid w:val="000B4735"/>
    <w:rsid w:val="000B6001"/>
    <w:rsid w:val="000B7002"/>
    <w:rsid w:val="000C029C"/>
    <w:rsid w:val="000C4766"/>
    <w:rsid w:val="000C4A25"/>
    <w:rsid w:val="000D14BD"/>
    <w:rsid w:val="000D174D"/>
    <w:rsid w:val="000D19CB"/>
    <w:rsid w:val="000D636A"/>
    <w:rsid w:val="000D6973"/>
    <w:rsid w:val="000E4BC4"/>
    <w:rsid w:val="000E6438"/>
    <w:rsid w:val="000F0630"/>
    <w:rsid w:val="000F438B"/>
    <w:rsid w:val="000F5099"/>
    <w:rsid w:val="00107B25"/>
    <w:rsid w:val="00107E56"/>
    <w:rsid w:val="00115B88"/>
    <w:rsid w:val="00120B3A"/>
    <w:rsid w:val="00123AC4"/>
    <w:rsid w:val="00126CBF"/>
    <w:rsid w:val="001448FE"/>
    <w:rsid w:val="00144C46"/>
    <w:rsid w:val="00153C1D"/>
    <w:rsid w:val="001624EF"/>
    <w:rsid w:val="00162DA5"/>
    <w:rsid w:val="00162EB7"/>
    <w:rsid w:val="0018013C"/>
    <w:rsid w:val="00186F9C"/>
    <w:rsid w:val="001A2FAE"/>
    <w:rsid w:val="001A7888"/>
    <w:rsid w:val="001A7AE3"/>
    <w:rsid w:val="001A7B4F"/>
    <w:rsid w:val="001B18C0"/>
    <w:rsid w:val="001B308E"/>
    <w:rsid w:val="001B3A04"/>
    <w:rsid w:val="001D1287"/>
    <w:rsid w:val="001D5CD3"/>
    <w:rsid w:val="001D7ECC"/>
    <w:rsid w:val="001E2D9F"/>
    <w:rsid w:val="001E38B4"/>
    <w:rsid w:val="001E7EA6"/>
    <w:rsid w:val="00200A1C"/>
    <w:rsid w:val="002017AB"/>
    <w:rsid w:val="00204E39"/>
    <w:rsid w:val="002117D3"/>
    <w:rsid w:val="0021309E"/>
    <w:rsid w:val="00216083"/>
    <w:rsid w:val="00220240"/>
    <w:rsid w:val="002265B1"/>
    <w:rsid w:val="002400B2"/>
    <w:rsid w:val="00243023"/>
    <w:rsid w:val="00255434"/>
    <w:rsid w:val="00273E9F"/>
    <w:rsid w:val="00276650"/>
    <w:rsid w:val="00280110"/>
    <w:rsid w:val="00282FFD"/>
    <w:rsid w:val="002834E6"/>
    <w:rsid w:val="0028483A"/>
    <w:rsid w:val="00290AA3"/>
    <w:rsid w:val="00297EB4"/>
    <w:rsid w:val="002A3703"/>
    <w:rsid w:val="002A45E4"/>
    <w:rsid w:val="002B3B61"/>
    <w:rsid w:val="002B43CD"/>
    <w:rsid w:val="002B550D"/>
    <w:rsid w:val="002B5CDF"/>
    <w:rsid w:val="002B6D0C"/>
    <w:rsid w:val="002C0FDF"/>
    <w:rsid w:val="002C3157"/>
    <w:rsid w:val="002D1B09"/>
    <w:rsid w:val="002D28FA"/>
    <w:rsid w:val="002D5A16"/>
    <w:rsid w:val="002D5D60"/>
    <w:rsid w:val="002D5E46"/>
    <w:rsid w:val="002E46D0"/>
    <w:rsid w:val="002F3390"/>
    <w:rsid w:val="002F6EA5"/>
    <w:rsid w:val="00300E38"/>
    <w:rsid w:val="003021DF"/>
    <w:rsid w:val="00303E87"/>
    <w:rsid w:val="00312517"/>
    <w:rsid w:val="0031280D"/>
    <w:rsid w:val="003149F7"/>
    <w:rsid w:val="003174EF"/>
    <w:rsid w:val="00317B7A"/>
    <w:rsid w:val="00323F11"/>
    <w:rsid w:val="00324DAE"/>
    <w:rsid w:val="0033013F"/>
    <w:rsid w:val="003320A1"/>
    <w:rsid w:val="003324BF"/>
    <w:rsid w:val="00344685"/>
    <w:rsid w:val="00346075"/>
    <w:rsid w:val="0034664F"/>
    <w:rsid w:val="00347C8C"/>
    <w:rsid w:val="0035196A"/>
    <w:rsid w:val="003524C9"/>
    <w:rsid w:val="00363DD8"/>
    <w:rsid w:val="00391C2E"/>
    <w:rsid w:val="00394E1F"/>
    <w:rsid w:val="003957BE"/>
    <w:rsid w:val="00396A37"/>
    <w:rsid w:val="003A34DE"/>
    <w:rsid w:val="003A37CE"/>
    <w:rsid w:val="003A5479"/>
    <w:rsid w:val="003A7F50"/>
    <w:rsid w:val="003B1A01"/>
    <w:rsid w:val="003B3717"/>
    <w:rsid w:val="003B44BE"/>
    <w:rsid w:val="003C02ED"/>
    <w:rsid w:val="003C649D"/>
    <w:rsid w:val="003D19A7"/>
    <w:rsid w:val="003D526B"/>
    <w:rsid w:val="003E1911"/>
    <w:rsid w:val="003E638E"/>
    <w:rsid w:val="003F6C5A"/>
    <w:rsid w:val="004105DD"/>
    <w:rsid w:val="00421C2E"/>
    <w:rsid w:val="004238E8"/>
    <w:rsid w:val="00423FCF"/>
    <w:rsid w:val="0042404C"/>
    <w:rsid w:val="00425C3F"/>
    <w:rsid w:val="0043493A"/>
    <w:rsid w:val="004371CC"/>
    <w:rsid w:val="00442DAA"/>
    <w:rsid w:val="0044417C"/>
    <w:rsid w:val="00444D4D"/>
    <w:rsid w:val="004457BD"/>
    <w:rsid w:val="0044622E"/>
    <w:rsid w:val="004464EE"/>
    <w:rsid w:val="00450C3B"/>
    <w:rsid w:val="00454421"/>
    <w:rsid w:val="00455743"/>
    <w:rsid w:val="004560C9"/>
    <w:rsid w:val="00456A3B"/>
    <w:rsid w:val="004621B0"/>
    <w:rsid w:val="00462732"/>
    <w:rsid w:val="00462A28"/>
    <w:rsid w:val="00463A78"/>
    <w:rsid w:val="00470BA2"/>
    <w:rsid w:val="00473478"/>
    <w:rsid w:val="004807C6"/>
    <w:rsid w:val="00491BC1"/>
    <w:rsid w:val="004A0ED1"/>
    <w:rsid w:val="004A28BE"/>
    <w:rsid w:val="004A2ECE"/>
    <w:rsid w:val="004A442E"/>
    <w:rsid w:val="004A4511"/>
    <w:rsid w:val="004B25F1"/>
    <w:rsid w:val="004B46D7"/>
    <w:rsid w:val="004B6E64"/>
    <w:rsid w:val="004B778E"/>
    <w:rsid w:val="004C0536"/>
    <w:rsid w:val="004C1135"/>
    <w:rsid w:val="004C2ED3"/>
    <w:rsid w:val="004C44EC"/>
    <w:rsid w:val="004C72A3"/>
    <w:rsid w:val="004D303D"/>
    <w:rsid w:val="004D7E5B"/>
    <w:rsid w:val="004E0545"/>
    <w:rsid w:val="004E3BA3"/>
    <w:rsid w:val="004E56E4"/>
    <w:rsid w:val="004E6AB1"/>
    <w:rsid w:val="00501A0C"/>
    <w:rsid w:val="005158D5"/>
    <w:rsid w:val="005222AB"/>
    <w:rsid w:val="00525EF3"/>
    <w:rsid w:val="00533705"/>
    <w:rsid w:val="005338C2"/>
    <w:rsid w:val="00534AC5"/>
    <w:rsid w:val="00535E0D"/>
    <w:rsid w:val="005421C8"/>
    <w:rsid w:val="005435EF"/>
    <w:rsid w:val="0055044A"/>
    <w:rsid w:val="00560161"/>
    <w:rsid w:val="00570599"/>
    <w:rsid w:val="00571415"/>
    <w:rsid w:val="00571BE7"/>
    <w:rsid w:val="0058661D"/>
    <w:rsid w:val="0058726B"/>
    <w:rsid w:val="005929A3"/>
    <w:rsid w:val="00592EBA"/>
    <w:rsid w:val="005978AF"/>
    <w:rsid w:val="005A2EEE"/>
    <w:rsid w:val="005A665B"/>
    <w:rsid w:val="005A75D9"/>
    <w:rsid w:val="005B230E"/>
    <w:rsid w:val="005B4D87"/>
    <w:rsid w:val="005B6A54"/>
    <w:rsid w:val="005C102A"/>
    <w:rsid w:val="005C30CC"/>
    <w:rsid w:val="005C4E5B"/>
    <w:rsid w:val="005D6050"/>
    <w:rsid w:val="005E1B96"/>
    <w:rsid w:val="005E3942"/>
    <w:rsid w:val="005E4065"/>
    <w:rsid w:val="005F64FE"/>
    <w:rsid w:val="00601A95"/>
    <w:rsid w:val="0060333F"/>
    <w:rsid w:val="00612654"/>
    <w:rsid w:val="00612AB1"/>
    <w:rsid w:val="006162CE"/>
    <w:rsid w:val="006214EE"/>
    <w:rsid w:val="00627994"/>
    <w:rsid w:val="006307AC"/>
    <w:rsid w:val="00632F11"/>
    <w:rsid w:val="00637C31"/>
    <w:rsid w:val="00641816"/>
    <w:rsid w:val="00643E54"/>
    <w:rsid w:val="00644AE1"/>
    <w:rsid w:val="006457C7"/>
    <w:rsid w:val="00652E72"/>
    <w:rsid w:val="00660BDA"/>
    <w:rsid w:val="00661E53"/>
    <w:rsid w:val="00671CEC"/>
    <w:rsid w:val="00672796"/>
    <w:rsid w:val="00673312"/>
    <w:rsid w:val="00676FFA"/>
    <w:rsid w:val="006771F7"/>
    <w:rsid w:val="006803D5"/>
    <w:rsid w:val="00680D6D"/>
    <w:rsid w:val="00681653"/>
    <w:rsid w:val="00684F2D"/>
    <w:rsid w:val="006854E4"/>
    <w:rsid w:val="006903BC"/>
    <w:rsid w:val="00693F8B"/>
    <w:rsid w:val="006A46AF"/>
    <w:rsid w:val="006B0830"/>
    <w:rsid w:val="006C0023"/>
    <w:rsid w:val="006C0FD7"/>
    <w:rsid w:val="006C1434"/>
    <w:rsid w:val="006D1F9E"/>
    <w:rsid w:val="006D5483"/>
    <w:rsid w:val="006D7FF7"/>
    <w:rsid w:val="006F0911"/>
    <w:rsid w:val="006F0A55"/>
    <w:rsid w:val="006F5373"/>
    <w:rsid w:val="00701F56"/>
    <w:rsid w:val="00702E69"/>
    <w:rsid w:val="00705ED9"/>
    <w:rsid w:val="00710568"/>
    <w:rsid w:val="00712409"/>
    <w:rsid w:val="00715351"/>
    <w:rsid w:val="00715738"/>
    <w:rsid w:val="007175A8"/>
    <w:rsid w:val="007214E4"/>
    <w:rsid w:val="0072206C"/>
    <w:rsid w:val="00731019"/>
    <w:rsid w:val="00741035"/>
    <w:rsid w:val="007449D8"/>
    <w:rsid w:val="007517AA"/>
    <w:rsid w:val="00751D9B"/>
    <w:rsid w:val="00761553"/>
    <w:rsid w:val="00762F08"/>
    <w:rsid w:val="00767C79"/>
    <w:rsid w:val="007719C0"/>
    <w:rsid w:val="00771FD8"/>
    <w:rsid w:val="00774B01"/>
    <w:rsid w:val="00775B4D"/>
    <w:rsid w:val="0078340A"/>
    <w:rsid w:val="00791F0D"/>
    <w:rsid w:val="00796522"/>
    <w:rsid w:val="007A29AE"/>
    <w:rsid w:val="007A2CB6"/>
    <w:rsid w:val="007A318F"/>
    <w:rsid w:val="007A696B"/>
    <w:rsid w:val="007B0100"/>
    <w:rsid w:val="007B2AF7"/>
    <w:rsid w:val="007C180D"/>
    <w:rsid w:val="007C2A2C"/>
    <w:rsid w:val="007C2BC2"/>
    <w:rsid w:val="007C4BC9"/>
    <w:rsid w:val="007D4271"/>
    <w:rsid w:val="007E0EDC"/>
    <w:rsid w:val="007E5E3A"/>
    <w:rsid w:val="007E65C2"/>
    <w:rsid w:val="007F64D3"/>
    <w:rsid w:val="0080044E"/>
    <w:rsid w:val="008014EF"/>
    <w:rsid w:val="008016DE"/>
    <w:rsid w:val="00802995"/>
    <w:rsid w:val="0081145B"/>
    <w:rsid w:val="008152DB"/>
    <w:rsid w:val="0081663D"/>
    <w:rsid w:val="00822096"/>
    <w:rsid w:val="00830D59"/>
    <w:rsid w:val="00835597"/>
    <w:rsid w:val="00836243"/>
    <w:rsid w:val="0084356A"/>
    <w:rsid w:val="00862670"/>
    <w:rsid w:val="00863618"/>
    <w:rsid w:val="008754EC"/>
    <w:rsid w:val="00875E03"/>
    <w:rsid w:val="00877E50"/>
    <w:rsid w:val="00881C98"/>
    <w:rsid w:val="0088277B"/>
    <w:rsid w:val="008848FD"/>
    <w:rsid w:val="00892B66"/>
    <w:rsid w:val="00897CED"/>
    <w:rsid w:val="00897D24"/>
    <w:rsid w:val="008A7054"/>
    <w:rsid w:val="008B0117"/>
    <w:rsid w:val="008B3666"/>
    <w:rsid w:val="008D282B"/>
    <w:rsid w:val="008D3714"/>
    <w:rsid w:val="008D3742"/>
    <w:rsid w:val="008E168A"/>
    <w:rsid w:val="008E22A2"/>
    <w:rsid w:val="008F2FCC"/>
    <w:rsid w:val="0090026E"/>
    <w:rsid w:val="00902693"/>
    <w:rsid w:val="009079F5"/>
    <w:rsid w:val="00907D93"/>
    <w:rsid w:val="0091107E"/>
    <w:rsid w:val="00912965"/>
    <w:rsid w:val="00917650"/>
    <w:rsid w:val="009176C5"/>
    <w:rsid w:val="0091795D"/>
    <w:rsid w:val="00921D5D"/>
    <w:rsid w:val="009232E1"/>
    <w:rsid w:val="009330AA"/>
    <w:rsid w:val="0094545A"/>
    <w:rsid w:val="00946172"/>
    <w:rsid w:val="009572DA"/>
    <w:rsid w:val="00962D0F"/>
    <w:rsid w:val="00963C45"/>
    <w:rsid w:val="00963CB6"/>
    <w:rsid w:val="0096772A"/>
    <w:rsid w:val="00971479"/>
    <w:rsid w:val="0097379A"/>
    <w:rsid w:val="00975C5C"/>
    <w:rsid w:val="0097776F"/>
    <w:rsid w:val="00977826"/>
    <w:rsid w:val="009878FC"/>
    <w:rsid w:val="009A0DE5"/>
    <w:rsid w:val="009A29D9"/>
    <w:rsid w:val="009A3038"/>
    <w:rsid w:val="009A454A"/>
    <w:rsid w:val="009B185A"/>
    <w:rsid w:val="009B4006"/>
    <w:rsid w:val="009C07F8"/>
    <w:rsid w:val="009C11EF"/>
    <w:rsid w:val="009C6F55"/>
    <w:rsid w:val="009D0A03"/>
    <w:rsid w:val="009D38E6"/>
    <w:rsid w:val="009E07AD"/>
    <w:rsid w:val="009E1E0F"/>
    <w:rsid w:val="009E4EF6"/>
    <w:rsid w:val="009E6541"/>
    <w:rsid w:val="009E71CD"/>
    <w:rsid w:val="009E730F"/>
    <w:rsid w:val="009F263C"/>
    <w:rsid w:val="009F4B07"/>
    <w:rsid w:val="00A0099A"/>
    <w:rsid w:val="00A03685"/>
    <w:rsid w:val="00A05D11"/>
    <w:rsid w:val="00A1783C"/>
    <w:rsid w:val="00A2324F"/>
    <w:rsid w:val="00A25C0C"/>
    <w:rsid w:val="00A264EE"/>
    <w:rsid w:val="00A32381"/>
    <w:rsid w:val="00A36D72"/>
    <w:rsid w:val="00A40965"/>
    <w:rsid w:val="00A5214D"/>
    <w:rsid w:val="00A55D61"/>
    <w:rsid w:val="00A62E5F"/>
    <w:rsid w:val="00A65ADF"/>
    <w:rsid w:val="00A66DBE"/>
    <w:rsid w:val="00A70AFA"/>
    <w:rsid w:val="00A70EA9"/>
    <w:rsid w:val="00A73F7E"/>
    <w:rsid w:val="00A75503"/>
    <w:rsid w:val="00A81121"/>
    <w:rsid w:val="00A83F52"/>
    <w:rsid w:val="00AA7DE1"/>
    <w:rsid w:val="00AB7F79"/>
    <w:rsid w:val="00AC692B"/>
    <w:rsid w:val="00AD0D6B"/>
    <w:rsid w:val="00AD0DF9"/>
    <w:rsid w:val="00AE3B59"/>
    <w:rsid w:val="00AF26AC"/>
    <w:rsid w:val="00AF29A6"/>
    <w:rsid w:val="00AF6FE7"/>
    <w:rsid w:val="00B01886"/>
    <w:rsid w:val="00B11250"/>
    <w:rsid w:val="00B12533"/>
    <w:rsid w:val="00B2291B"/>
    <w:rsid w:val="00B24BDE"/>
    <w:rsid w:val="00B2692A"/>
    <w:rsid w:val="00B272E1"/>
    <w:rsid w:val="00B3200D"/>
    <w:rsid w:val="00B35564"/>
    <w:rsid w:val="00B37D1A"/>
    <w:rsid w:val="00B409B7"/>
    <w:rsid w:val="00B45528"/>
    <w:rsid w:val="00B52262"/>
    <w:rsid w:val="00B557CC"/>
    <w:rsid w:val="00B61831"/>
    <w:rsid w:val="00B630AB"/>
    <w:rsid w:val="00B71EB7"/>
    <w:rsid w:val="00B7235E"/>
    <w:rsid w:val="00B72417"/>
    <w:rsid w:val="00B73D8F"/>
    <w:rsid w:val="00B8311B"/>
    <w:rsid w:val="00B91355"/>
    <w:rsid w:val="00B913A5"/>
    <w:rsid w:val="00BA4407"/>
    <w:rsid w:val="00BB1A12"/>
    <w:rsid w:val="00BB25A1"/>
    <w:rsid w:val="00BC4A97"/>
    <w:rsid w:val="00BC537B"/>
    <w:rsid w:val="00BD0AA4"/>
    <w:rsid w:val="00BD7C31"/>
    <w:rsid w:val="00BE2051"/>
    <w:rsid w:val="00BF1186"/>
    <w:rsid w:val="00BF445F"/>
    <w:rsid w:val="00BF6ECF"/>
    <w:rsid w:val="00C11494"/>
    <w:rsid w:val="00C11BDE"/>
    <w:rsid w:val="00C125D8"/>
    <w:rsid w:val="00C149EF"/>
    <w:rsid w:val="00C22569"/>
    <w:rsid w:val="00C32F96"/>
    <w:rsid w:val="00C43EAF"/>
    <w:rsid w:val="00C5158B"/>
    <w:rsid w:val="00C54481"/>
    <w:rsid w:val="00C56F53"/>
    <w:rsid w:val="00C57A3A"/>
    <w:rsid w:val="00C60C59"/>
    <w:rsid w:val="00C62C75"/>
    <w:rsid w:val="00C71324"/>
    <w:rsid w:val="00C7138A"/>
    <w:rsid w:val="00C827CC"/>
    <w:rsid w:val="00C83721"/>
    <w:rsid w:val="00C86FF8"/>
    <w:rsid w:val="00C925B6"/>
    <w:rsid w:val="00C92C94"/>
    <w:rsid w:val="00CA510F"/>
    <w:rsid w:val="00CA7001"/>
    <w:rsid w:val="00CB07D6"/>
    <w:rsid w:val="00CB56BD"/>
    <w:rsid w:val="00CB6807"/>
    <w:rsid w:val="00CC04AF"/>
    <w:rsid w:val="00CC6A4B"/>
    <w:rsid w:val="00CC7980"/>
    <w:rsid w:val="00CD31CB"/>
    <w:rsid w:val="00CE1EB0"/>
    <w:rsid w:val="00CF28A4"/>
    <w:rsid w:val="00CF3F4E"/>
    <w:rsid w:val="00CF6132"/>
    <w:rsid w:val="00D05D8A"/>
    <w:rsid w:val="00D13DCA"/>
    <w:rsid w:val="00D37C80"/>
    <w:rsid w:val="00D44398"/>
    <w:rsid w:val="00D55AEA"/>
    <w:rsid w:val="00D7246F"/>
    <w:rsid w:val="00D77E30"/>
    <w:rsid w:val="00D816B2"/>
    <w:rsid w:val="00D90512"/>
    <w:rsid w:val="00D91A02"/>
    <w:rsid w:val="00DA5EF7"/>
    <w:rsid w:val="00DA7808"/>
    <w:rsid w:val="00DB137F"/>
    <w:rsid w:val="00DB3248"/>
    <w:rsid w:val="00DC0E3C"/>
    <w:rsid w:val="00DC6A85"/>
    <w:rsid w:val="00DD393F"/>
    <w:rsid w:val="00DE595E"/>
    <w:rsid w:val="00DF6C4A"/>
    <w:rsid w:val="00E03FF1"/>
    <w:rsid w:val="00E04D93"/>
    <w:rsid w:val="00E05BA6"/>
    <w:rsid w:val="00E06595"/>
    <w:rsid w:val="00E21F87"/>
    <w:rsid w:val="00E22A75"/>
    <w:rsid w:val="00E26896"/>
    <w:rsid w:val="00E27E35"/>
    <w:rsid w:val="00E31936"/>
    <w:rsid w:val="00E323AF"/>
    <w:rsid w:val="00E36502"/>
    <w:rsid w:val="00E438FE"/>
    <w:rsid w:val="00E43C29"/>
    <w:rsid w:val="00E44624"/>
    <w:rsid w:val="00E45859"/>
    <w:rsid w:val="00E46305"/>
    <w:rsid w:val="00E46624"/>
    <w:rsid w:val="00E62FC1"/>
    <w:rsid w:val="00E631DF"/>
    <w:rsid w:val="00E645FF"/>
    <w:rsid w:val="00E6585D"/>
    <w:rsid w:val="00E74852"/>
    <w:rsid w:val="00E74C24"/>
    <w:rsid w:val="00E82367"/>
    <w:rsid w:val="00E833AB"/>
    <w:rsid w:val="00E8594F"/>
    <w:rsid w:val="00E87736"/>
    <w:rsid w:val="00E87D66"/>
    <w:rsid w:val="00E947E0"/>
    <w:rsid w:val="00E95DE4"/>
    <w:rsid w:val="00EA06C0"/>
    <w:rsid w:val="00EA2A15"/>
    <w:rsid w:val="00EA441F"/>
    <w:rsid w:val="00EA6296"/>
    <w:rsid w:val="00EB33DA"/>
    <w:rsid w:val="00EB77B4"/>
    <w:rsid w:val="00EC3B22"/>
    <w:rsid w:val="00ED1B81"/>
    <w:rsid w:val="00ED47C4"/>
    <w:rsid w:val="00EF065A"/>
    <w:rsid w:val="00EF1D3F"/>
    <w:rsid w:val="00EF5589"/>
    <w:rsid w:val="00F051CB"/>
    <w:rsid w:val="00F1365B"/>
    <w:rsid w:val="00F13C39"/>
    <w:rsid w:val="00F3070E"/>
    <w:rsid w:val="00F31E56"/>
    <w:rsid w:val="00F3363B"/>
    <w:rsid w:val="00F61550"/>
    <w:rsid w:val="00F61B17"/>
    <w:rsid w:val="00F71F7E"/>
    <w:rsid w:val="00F849FD"/>
    <w:rsid w:val="00F87FFC"/>
    <w:rsid w:val="00F9122C"/>
    <w:rsid w:val="00F9318B"/>
    <w:rsid w:val="00F93F22"/>
    <w:rsid w:val="00FA284C"/>
    <w:rsid w:val="00FA4DB3"/>
    <w:rsid w:val="00FB044E"/>
    <w:rsid w:val="00FB5A13"/>
    <w:rsid w:val="00FC0B5E"/>
    <w:rsid w:val="00FC3AAE"/>
    <w:rsid w:val="00FD1855"/>
    <w:rsid w:val="00FD4098"/>
    <w:rsid w:val="00FE00AE"/>
    <w:rsid w:val="00FF00EA"/>
    <w:rsid w:val="00FF45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79"/>
    <w:pPr>
      <w:spacing w:after="200" w:line="276" w:lineRule="auto"/>
    </w:pPr>
    <w:rPr>
      <w:lang w:eastAsia="en-US"/>
    </w:rPr>
  </w:style>
  <w:style w:type="paragraph" w:styleId="Heading3">
    <w:name w:val="heading 3"/>
    <w:basedOn w:val="Normal"/>
    <w:link w:val="Heading3Char"/>
    <w:uiPriority w:val="99"/>
    <w:qFormat/>
    <w:rsid w:val="004A442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A442E"/>
    <w:rPr>
      <w:rFonts w:ascii="Times New Roman" w:hAnsi="Times New Roman" w:cs="Times New Roman"/>
      <w:b/>
      <w:bCs/>
      <w:sz w:val="27"/>
      <w:szCs w:val="27"/>
      <w:lang w:eastAsia="ru-RU"/>
    </w:rPr>
  </w:style>
  <w:style w:type="paragraph" w:styleId="ListParagraph">
    <w:name w:val="List Paragraph"/>
    <w:basedOn w:val="Normal"/>
    <w:uiPriority w:val="99"/>
    <w:qFormat/>
    <w:rsid w:val="005A665B"/>
    <w:pPr>
      <w:ind w:left="720"/>
      <w:contextualSpacing/>
    </w:pPr>
  </w:style>
  <w:style w:type="character" w:styleId="Hyperlink">
    <w:name w:val="Hyperlink"/>
    <w:basedOn w:val="DefaultParagraphFont"/>
    <w:uiPriority w:val="99"/>
    <w:semiHidden/>
    <w:rsid w:val="004A442E"/>
    <w:rPr>
      <w:rFonts w:cs="Times New Roman"/>
      <w:color w:val="0000FF"/>
      <w:u w:val="single"/>
    </w:rPr>
  </w:style>
  <w:style w:type="paragraph" w:styleId="BalloonText">
    <w:name w:val="Balloon Text"/>
    <w:basedOn w:val="Normal"/>
    <w:link w:val="BalloonTextChar"/>
    <w:uiPriority w:val="99"/>
    <w:semiHidden/>
    <w:rsid w:val="00EC3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3B22"/>
    <w:rPr>
      <w:rFonts w:ascii="Tahoma" w:hAnsi="Tahoma" w:cs="Tahoma"/>
      <w:sz w:val="16"/>
      <w:szCs w:val="16"/>
    </w:rPr>
  </w:style>
  <w:style w:type="paragraph" w:styleId="Header">
    <w:name w:val="header"/>
    <w:basedOn w:val="Normal"/>
    <w:link w:val="HeaderChar"/>
    <w:uiPriority w:val="99"/>
    <w:rsid w:val="009E4EF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E4EF6"/>
    <w:rPr>
      <w:rFonts w:cs="Times New Roman"/>
    </w:rPr>
  </w:style>
  <w:style w:type="paragraph" w:styleId="Footer">
    <w:name w:val="footer"/>
    <w:basedOn w:val="Normal"/>
    <w:link w:val="FooterChar"/>
    <w:uiPriority w:val="99"/>
    <w:rsid w:val="009E4EF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E4EF6"/>
    <w:rPr>
      <w:rFonts w:cs="Times New Roman"/>
    </w:rPr>
  </w:style>
</w:styles>
</file>

<file path=word/webSettings.xml><?xml version="1.0" encoding="utf-8"?>
<w:webSettings xmlns:r="http://schemas.openxmlformats.org/officeDocument/2006/relationships" xmlns:w="http://schemas.openxmlformats.org/wordprocessingml/2006/main">
  <w:divs>
    <w:div w:id="377094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rmak.ua/en/drugs/3"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armak.ua/en/drugs/3" TargetMode="External"/><Relationship Id="rId12" Type="http://schemas.openxmlformats.org/officeDocument/2006/relationships/image" Target="media/image2.png"/><Relationship Id="rId17" Type="http://schemas.openxmlformats.org/officeDocument/2006/relationships/hyperlink" Target="mailto:yuliavadziuk@mail.ru" TargetMode="External"/><Relationship Id="rId2" Type="http://schemas.openxmlformats.org/officeDocument/2006/relationships/styles" Target="styles.xml"/><Relationship Id="rId16" Type="http://schemas.openxmlformats.org/officeDocument/2006/relationships/hyperlink" Target="http://dovidka.biz.ua/hvorobi-shhitopodibnoyi-zalozi-zaloz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cyberleninka.ru/journal/n/problemy-ekspertizy-v-meditsin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armak.ua/en/drugs/3" TargetMode="External"/><Relationship Id="rId14" Type="http://schemas.openxmlformats.org/officeDocument/2006/relationships/hyperlink" Target="http://lubbook.net/book_251.html.%20&#8211;%20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272</TotalTime>
  <Pages>12</Pages>
  <Words>2107</Words>
  <Characters>12016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Your User Name</cp:lastModifiedBy>
  <cp:revision>19</cp:revision>
  <cp:lastPrinted>2015-09-04T08:10:00Z</cp:lastPrinted>
  <dcterms:created xsi:type="dcterms:W3CDTF">2015-09-02T09:12:00Z</dcterms:created>
  <dcterms:modified xsi:type="dcterms:W3CDTF">2015-09-23T09:25:00Z</dcterms:modified>
</cp:coreProperties>
</file>