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38" w:rsidRPr="00E27E35" w:rsidRDefault="00EB3E38" w:rsidP="00DC35AB">
      <w:pPr>
        <w:jc w:val="center"/>
        <w:rPr>
          <w:b/>
          <w:color w:val="FF0000"/>
          <w:sz w:val="36"/>
          <w:szCs w:val="36"/>
          <w:lang w:val="en-US"/>
        </w:rPr>
      </w:pPr>
      <w:r w:rsidRPr="00E27E35">
        <w:rPr>
          <w:b/>
          <w:color w:val="FF0000"/>
          <w:sz w:val="36"/>
          <w:szCs w:val="36"/>
          <w:lang w:val="en-US"/>
        </w:rPr>
        <w:t xml:space="preserve">The article is published in Ukrainian in the journal. </w:t>
      </w:r>
      <w:r>
        <w:rPr>
          <w:b/>
          <w:color w:val="FF0000"/>
          <w:sz w:val="36"/>
          <w:szCs w:val="36"/>
          <w:lang w:val="en-US"/>
        </w:rPr>
        <w:br/>
      </w:r>
      <w:r w:rsidRPr="00E27E35">
        <w:rPr>
          <w:b/>
          <w:color w:val="FF0000"/>
          <w:sz w:val="36"/>
          <w:szCs w:val="36"/>
          <w:lang w:val="en-US"/>
        </w:rPr>
        <w:t>The English text is given in the author's version.</w:t>
      </w:r>
    </w:p>
    <w:p w:rsidR="00EB3E38" w:rsidRDefault="00EB3E38" w:rsidP="006506D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B3E38" w:rsidRPr="00E36D33" w:rsidRDefault="00EB3E38" w:rsidP="006506D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UDC 616.12-008.46+615.036.8+615.224</w:t>
      </w:r>
    </w:p>
    <w:p w:rsidR="00EB3E38" w:rsidRDefault="00EB3E38" w:rsidP="006506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influence of Ivabradine and ω-3 polyunsaturated fatty acids on cytokines level in patients with ischemic heart failure</w:t>
      </w:r>
    </w:p>
    <w:p w:rsidR="00EB3E38" w:rsidRDefault="00EB3E38" w:rsidP="006506D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S. V. Fedorov</w:t>
      </w:r>
    </w:p>
    <w:p w:rsidR="00EB3E38" w:rsidRDefault="00EB3E38" w:rsidP="006506D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SHHE “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Ivano-Frankivsk</w:t>
            </w:r>
          </w:smartTag>
          <w:r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smartTag w:uri="urn:schemas-microsoft-com:office:smarttags" w:element="PlaceName"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</w:t>
            </w:r>
          </w:smartTag>
          <w:r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smartTag w:uri="urn:schemas-microsoft-com:office:smarttags" w:element="PlaceName">
            <w:r>
              <w:rPr>
                <w:rFonts w:ascii="Times New Roman" w:hAnsi="Times New Roman"/>
                <w:sz w:val="28"/>
                <w:szCs w:val="28"/>
                <w:lang w:val="en-US"/>
              </w:rPr>
              <w:t>Medical</w:t>
            </w:r>
          </w:smartTag>
          <w:r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8"/>
                <w:szCs w:val="28"/>
                <w:lang w:val="en-US"/>
              </w:rPr>
              <w:t>University</w:t>
            </w:r>
          </w:smartTag>
        </w:smartTag>
      </w:smartTag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EB3E38" w:rsidRPr="00C02793" w:rsidRDefault="00EB3E38" w:rsidP="001B42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02793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 heart failure, treatment, ivabradine, </w:t>
      </w:r>
      <w:r w:rsidRPr="00C02793">
        <w:rPr>
          <w:rFonts w:ascii="Times New Roman" w:hAnsi="Times New Roman"/>
          <w:sz w:val="28"/>
          <w:szCs w:val="28"/>
        </w:rPr>
        <w:t>ω-3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 polyunsaturated fatty acids, cytokines</w:t>
      </w:r>
    </w:p>
    <w:p w:rsidR="00EB3E38" w:rsidRPr="001B42B1" w:rsidRDefault="00EB3E38" w:rsidP="002A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2793">
        <w:rPr>
          <w:rFonts w:ascii="Times New Roman" w:hAnsi="Times New Roman"/>
          <w:sz w:val="28"/>
          <w:szCs w:val="28"/>
          <w:lang w:val="en-US"/>
        </w:rPr>
        <w:t>The aim of our study</w:t>
      </w:r>
      <w:r w:rsidRPr="00C0279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was to evaluate of the possible effect of ivabradine and ω-3 polyunsaturated fatty acids on the levels of pro- and anti-inflammatory cytokines in patients with ischemic heart failure. 357 patients with ischemic HF and the sinus rhythm were observed. In accordance to treatment all patients were divided into four groups. </w:t>
      </w:r>
      <w:r w:rsidRPr="00C02793">
        <w:rPr>
          <w:rFonts w:ascii="Times New Roman" w:hAnsi="Times New Roman"/>
          <w:sz w:val="28"/>
          <w:szCs w:val="28"/>
          <w:lang w:val="en-US" w:eastAsia="ru-RU"/>
        </w:rPr>
        <w:t xml:space="preserve">The </w:t>
      </w:r>
      <w:r w:rsidRPr="00C02793">
        <w:rPr>
          <w:rFonts w:ascii="Times New Roman" w:hAnsi="Times New Roman"/>
          <w:sz w:val="28"/>
          <w:szCs w:val="28"/>
          <w:lang w:val="en-US"/>
        </w:rPr>
        <w:t>levels of interleukin 1</w:t>
      </w:r>
      <w:r w:rsidRPr="00C02793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 (IL-1</w:t>
      </w:r>
      <w:r w:rsidRPr="00C02793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C02793">
        <w:rPr>
          <w:rFonts w:ascii="Times New Roman" w:hAnsi="Times New Roman"/>
          <w:sz w:val="28"/>
          <w:szCs w:val="28"/>
          <w:lang w:val="en-US"/>
        </w:rPr>
        <w:t>), interleukin 6 (IL-6), and interleukin 10 (IL-10</w:t>
      </w:r>
      <w:r w:rsidRPr="00C02793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) in the serum were determined using commercial ELISA kits </w:t>
      </w:r>
      <w:r w:rsidRPr="00C02793">
        <w:rPr>
          <w:rFonts w:ascii="Times New Roman" w:hAnsi="Times New Roman"/>
          <w:lang w:val="en-US"/>
        </w:rPr>
        <w:t xml:space="preserve"> </w:t>
      </w:r>
      <w:r w:rsidRPr="00C02793">
        <w:rPr>
          <w:rFonts w:ascii="Times New Roman" w:hAnsi="Times New Roman"/>
          <w:sz w:val="28"/>
          <w:szCs w:val="28"/>
          <w:lang w:val="en-US"/>
        </w:rPr>
        <w:t>according to the manufacturer’s instructions. During treatment we observed decrease of the serum IL-1β level in all groups of patients. The medicines of the basic treatment decreased of the serum IL-6 level by</w:t>
      </w:r>
      <w:r w:rsidRPr="00C02793">
        <w:rPr>
          <w:rFonts w:ascii="Times New Roman" w:hAnsi="Times New Roman"/>
          <w:sz w:val="28"/>
          <w:szCs w:val="28"/>
        </w:rPr>
        <w:t xml:space="preserve"> 30%</w:t>
      </w:r>
      <w:r w:rsidRPr="00C02793">
        <w:rPr>
          <w:rFonts w:ascii="Times New Roman" w:hAnsi="Times New Roman"/>
          <w:sz w:val="28"/>
          <w:szCs w:val="28"/>
          <w:lang w:val="en-US"/>
        </w:rPr>
        <w:t>. Dynamics in the second group was higher</w:t>
      </w:r>
      <w:r w:rsidRPr="00C02793">
        <w:rPr>
          <w:rFonts w:ascii="Times New Roman" w:hAnsi="Times New Roman"/>
          <w:sz w:val="28"/>
          <w:szCs w:val="28"/>
        </w:rPr>
        <w:t xml:space="preserve"> – 37</w:t>
      </w:r>
      <w:r w:rsidRPr="00C02793">
        <w:rPr>
          <w:rFonts w:ascii="Times New Roman" w:hAnsi="Times New Roman"/>
          <w:sz w:val="28"/>
          <w:szCs w:val="28"/>
          <w:lang w:val="en-US"/>
        </w:rPr>
        <w:t>.</w:t>
      </w:r>
      <w:r w:rsidRPr="00C02793">
        <w:rPr>
          <w:rFonts w:ascii="Times New Roman" w:hAnsi="Times New Roman"/>
          <w:sz w:val="28"/>
          <w:szCs w:val="28"/>
        </w:rPr>
        <w:t xml:space="preserve">6%. </w:t>
      </w:r>
      <w:r w:rsidRPr="00C02793">
        <w:rPr>
          <w:rFonts w:ascii="Times New Roman" w:hAnsi="Times New Roman"/>
          <w:sz w:val="28"/>
          <w:szCs w:val="28"/>
          <w:lang w:val="en-US"/>
        </w:rPr>
        <w:t>The more intensive changes were caused by additional use of PUFA</w:t>
      </w:r>
      <w:r>
        <w:rPr>
          <w:rFonts w:ascii="Times New Roman" w:hAnsi="Times New Roman"/>
          <w:sz w:val="28"/>
          <w:szCs w:val="28"/>
          <w:lang w:val="en-US"/>
        </w:rPr>
        <w:t xml:space="preserve"> (for 45.9%)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 or their combination with ivabradin</w:t>
      </w:r>
      <w:r>
        <w:rPr>
          <w:rFonts w:ascii="Times New Roman" w:hAnsi="Times New Roman"/>
          <w:sz w:val="28"/>
          <w:szCs w:val="28"/>
          <w:lang w:val="en-US"/>
        </w:rPr>
        <w:t xml:space="preserve"> (for 48.6%)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. All therapeutic schemes caused the increase of IL-10 levels in the HF patients blood. But more intensive changes were observed in groups with PUFA: by </w:t>
      </w:r>
      <w:r w:rsidRPr="00C02793">
        <w:rPr>
          <w:rFonts w:ascii="Times New Roman" w:hAnsi="Times New Roman"/>
          <w:sz w:val="28"/>
          <w:szCs w:val="28"/>
        </w:rPr>
        <w:t xml:space="preserve">26%; 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C02793">
        <w:rPr>
          <w:rFonts w:ascii="Times New Roman" w:hAnsi="Times New Roman"/>
          <w:sz w:val="28"/>
          <w:szCs w:val="28"/>
        </w:rPr>
        <w:t>26</w:t>
      </w:r>
      <w:r w:rsidRPr="00C02793">
        <w:rPr>
          <w:rFonts w:ascii="Times New Roman" w:hAnsi="Times New Roman"/>
          <w:sz w:val="28"/>
          <w:szCs w:val="28"/>
          <w:lang w:val="en-US"/>
        </w:rPr>
        <w:t>.</w:t>
      </w:r>
      <w:r w:rsidRPr="00C02793">
        <w:rPr>
          <w:rFonts w:ascii="Times New Roman" w:hAnsi="Times New Roman"/>
          <w:sz w:val="28"/>
          <w:szCs w:val="28"/>
        </w:rPr>
        <w:t>1%</w:t>
      </w:r>
      <w:r w:rsidRPr="00C02793">
        <w:rPr>
          <w:rFonts w:ascii="Times New Roman" w:hAnsi="Times New Roman"/>
          <w:sz w:val="28"/>
          <w:szCs w:val="28"/>
          <w:lang w:val="en-US"/>
        </w:rPr>
        <w:t>, respectively</w:t>
      </w:r>
      <w:r w:rsidRPr="00C02793">
        <w:rPr>
          <w:rFonts w:ascii="Times New Roman" w:hAnsi="Times New Roman"/>
          <w:sz w:val="28"/>
          <w:szCs w:val="28"/>
        </w:rPr>
        <w:t xml:space="preserve">. </w:t>
      </w:r>
      <w:r w:rsidRPr="00C02793">
        <w:rPr>
          <w:rFonts w:ascii="Times New Roman" w:hAnsi="Times New Roman"/>
          <w:sz w:val="28"/>
          <w:szCs w:val="28"/>
          <w:lang w:val="en-US"/>
        </w:rPr>
        <w:t>In the first group this value increased by</w:t>
      </w:r>
      <w:r w:rsidRPr="00C02793">
        <w:rPr>
          <w:rFonts w:ascii="Times New Roman" w:hAnsi="Times New Roman"/>
          <w:sz w:val="28"/>
          <w:szCs w:val="28"/>
        </w:rPr>
        <w:t xml:space="preserve"> 21</w:t>
      </w:r>
      <w:r w:rsidRPr="00C02793">
        <w:rPr>
          <w:rFonts w:ascii="Times New Roman" w:hAnsi="Times New Roman"/>
          <w:sz w:val="28"/>
          <w:szCs w:val="28"/>
          <w:lang w:val="en-US"/>
        </w:rPr>
        <w:t>.</w:t>
      </w:r>
      <w:r w:rsidRPr="00C02793">
        <w:rPr>
          <w:rFonts w:ascii="Times New Roman" w:hAnsi="Times New Roman"/>
          <w:sz w:val="28"/>
          <w:szCs w:val="28"/>
        </w:rPr>
        <w:t>4%</w:t>
      </w:r>
      <w:r w:rsidRPr="00C02793">
        <w:rPr>
          <w:rFonts w:ascii="Times New Roman" w:hAnsi="Times New Roman"/>
          <w:sz w:val="28"/>
          <w:szCs w:val="28"/>
          <w:lang w:val="en-US"/>
        </w:rPr>
        <w:t>; in the second group</w:t>
      </w:r>
      <w:r w:rsidRPr="00C02793">
        <w:rPr>
          <w:rFonts w:ascii="Times New Roman" w:hAnsi="Times New Roman"/>
          <w:sz w:val="28"/>
          <w:szCs w:val="28"/>
        </w:rPr>
        <w:t xml:space="preserve"> – </w:t>
      </w:r>
      <w:r w:rsidRPr="00C02793">
        <w:rPr>
          <w:rFonts w:ascii="Times New Roman" w:hAnsi="Times New Roman"/>
          <w:sz w:val="28"/>
          <w:szCs w:val="28"/>
          <w:lang w:val="en-US"/>
        </w:rPr>
        <w:t>by</w:t>
      </w:r>
      <w:r w:rsidRPr="00C02793">
        <w:rPr>
          <w:rFonts w:ascii="Times New Roman" w:hAnsi="Times New Roman"/>
          <w:sz w:val="28"/>
          <w:szCs w:val="28"/>
        </w:rPr>
        <w:t xml:space="preserve"> 20</w:t>
      </w:r>
      <w:r w:rsidRPr="00C02793">
        <w:rPr>
          <w:rFonts w:ascii="Times New Roman" w:hAnsi="Times New Roman"/>
          <w:sz w:val="28"/>
          <w:szCs w:val="28"/>
          <w:lang w:val="en-US"/>
        </w:rPr>
        <w:t>.</w:t>
      </w:r>
      <w:r w:rsidRPr="00C02793">
        <w:rPr>
          <w:rFonts w:ascii="Times New Roman" w:hAnsi="Times New Roman"/>
          <w:sz w:val="28"/>
          <w:szCs w:val="28"/>
        </w:rPr>
        <w:t>6%</w:t>
      </w:r>
      <w:r w:rsidRPr="00C02793">
        <w:rPr>
          <w:rFonts w:ascii="Times New Roman" w:hAnsi="Times New Roman"/>
          <w:sz w:val="28"/>
          <w:szCs w:val="28"/>
          <w:lang w:val="en-US"/>
        </w:rPr>
        <w:t>. Conclusions:</w:t>
      </w:r>
      <w:r w:rsidRPr="00C0279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02793">
        <w:rPr>
          <w:rFonts w:ascii="Times New Roman" w:hAnsi="Times New Roman"/>
          <w:sz w:val="28"/>
          <w:szCs w:val="28"/>
          <w:lang w:val="en-US"/>
        </w:rPr>
        <w:t xml:space="preserve">1. The PUFA medicines have the immunomodulatory effects: they decrease the levels of the serum pro-inflammatory cytokines (IL-1β, IL-6) and increase the level of the anti-inflammatory IL-10. 2. Ivabradine reduces the levels of </w:t>
      </w:r>
      <w:r>
        <w:rPr>
          <w:rFonts w:ascii="Times New Roman" w:hAnsi="Times New Roman"/>
          <w:sz w:val="28"/>
          <w:szCs w:val="28"/>
          <w:lang w:val="en-US"/>
        </w:rPr>
        <w:t xml:space="preserve">proinflammarory </w:t>
      </w:r>
      <w:r w:rsidRPr="00C02793">
        <w:rPr>
          <w:rFonts w:ascii="Times New Roman" w:hAnsi="Times New Roman"/>
          <w:sz w:val="28"/>
          <w:szCs w:val="28"/>
          <w:lang w:val="en-US"/>
        </w:rPr>
        <w:t>IL-1β and IL-</w:t>
      </w:r>
      <w:smartTag w:uri="urn:schemas-microsoft-com:office:smarttags" w:element="place">
        <w:smartTag w:uri="urn:schemas-microsoft-com:office:smarttags" w:element="metricconverter">
          <w:smartTagPr>
            <w:attr w:name="ProductID" w:val="6 in"/>
          </w:smartTagPr>
          <w:r w:rsidRPr="00C02793">
            <w:rPr>
              <w:rFonts w:ascii="Times New Roman" w:hAnsi="Times New Roman"/>
              <w:sz w:val="28"/>
              <w:szCs w:val="28"/>
              <w:lang w:val="en-US"/>
            </w:rPr>
            <w:t>6 in</w:t>
          </w:r>
        </w:smartTag>
      </w:smartTag>
      <w:r w:rsidRPr="00C02793">
        <w:rPr>
          <w:rFonts w:ascii="Times New Roman" w:hAnsi="Times New Roman"/>
          <w:sz w:val="28"/>
          <w:szCs w:val="28"/>
          <w:lang w:val="en-US"/>
        </w:rPr>
        <w:t xml:space="preserve"> the serum, but does not influence on the </w:t>
      </w:r>
      <w:r>
        <w:rPr>
          <w:rFonts w:ascii="Times New Roman" w:hAnsi="Times New Roman"/>
          <w:sz w:val="28"/>
          <w:szCs w:val="28"/>
          <w:lang w:val="en-US"/>
        </w:rPr>
        <w:t xml:space="preserve">anti-inflammatory </w:t>
      </w:r>
      <w:r w:rsidRPr="00C02793">
        <w:rPr>
          <w:rFonts w:ascii="Times New Roman" w:hAnsi="Times New Roman"/>
          <w:sz w:val="28"/>
          <w:szCs w:val="28"/>
          <w:lang w:val="en-US"/>
        </w:rPr>
        <w:t>IL-10 concentration.</w:t>
      </w:r>
    </w:p>
    <w:p w:rsidR="00EB3E38" w:rsidRDefault="00EB3E38" w:rsidP="00650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Introduction. </w:t>
      </w:r>
      <w:r w:rsidRPr="006506D9">
        <w:rPr>
          <w:rFonts w:ascii="Times New Roman" w:hAnsi="Times New Roman"/>
          <w:sz w:val="28"/>
          <w:szCs w:val="28"/>
          <w:lang w:val="en-US"/>
        </w:rPr>
        <w:t>Despite extensive evidence and recommendations from clinical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trials, heart failure (HF) remains a substantial cause of morbidity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 xml:space="preserve">and mortality. </w:t>
      </w:r>
    </w:p>
    <w:p w:rsidR="00EB3E38" w:rsidRDefault="00EB3E38" w:rsidP="00D22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06D9">
        <w:rPr>
          <w:rFonts w:ascii="Times New Roman" w:hAnsi="Times New Roman"/>
          <w:sz w:val="28"/>
          <w:szCs w:val="28"/>
          <w:lang w:val="en-US"/>
        </w:rPr>
        <w:t>The heart failure syndrome is characterized by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impaired systolic and/or diastolic function and various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clinical signs such as fatigue, dyspnea, ﬂuid retention,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cachexia.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An inﬂammatory activation in CHF patients has long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been recognized. Indeed, immune mechanisms modulate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interstitial ﬁbrosis, car</w:t>
      </w:r>
      <w:r>
        <w:rPr>
          <w:rFonts w:ascii="Times New Roman" w:hAnsi="Times New Roman"/>
          <w:sz w:val="28"/>
          <w:szCs w:val="28"/>
          <w:lang w:val="en-US"/>
        </w:rPr>
        <w:t>diomyocyte apoptosis, and hyper</w:t>
      </w:r>
      <w:r w:rsidRPr="006506D9">
        <w:rPr>
          <w:rFonts w:ascii="Times New Roman" w:hAnsi="Times New Roman"/>
          <w:sz w:val="28"/>
          <w:szCs w:val="28"/>
          <w:lang w:val="en-US"/>
        </w:rPr>
        <w:t>trophy, all of which are c</w:t>
      </w:r>
      <w:r>
        <w:rPr>
          <w:rFonts w:ascii="Times New Roman" w:hAnsi="Times New Roman"/>
          <w:sz w:val="28"/>
          <w:szCs w:val="28"/>
          <w:lang w:val="en-US"/>
        </w:rPr>
        <w:t>entral processes leading to mal</w:t>
      </w:r>
      <w:r w:rsidRPr="006506D9">
        <w:rPr>
          <w:rFonts w:ascii="Times New Roman" w:hAnsi="Times New Roman"/>
          <w:sz w:val="28"/>
          <w:szCs w:val="28"/>
          <w:lang w:val="en-US"/>
        </w:rPr>
        <w:t>adaptive remodeling in response to a variety of stimuli</w:t>
      </w:r>
      <w:r>
        <w:rPr>
          <w:rFonts w:ascii="Times New Roman" w:hAnsi="Times New Roman"/>
          <w:sz w:val="28"/>
          <w:szCs w:val="28"/>
          <w:lang w:val="en-US"/>
        </w:rPr>
        <w:t xml:space="preserve"> [7]</w:t>
      </w:r>
      <w:r w:rsidRPr="006506D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B3E38" w:rsidRDefault="00EB3E38" w:rsidP="00D22C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22C7D">
        <w:rPr>
          <w:rFonts w:ascii="Times New Roman" w:hAnsi="Times New Roman"/>
          <w:sz w:val="28"/>
          <w:szCs w:val="28"/>
          <w:lang w:val="en-US"/>
        </w:rPr>
        <w:t>Several reports ha</w:t>
      </w:r>
      <w:r>
        <w:rPr>
          <w:rFonts w:ascii="Times New Roman" w:hAnsi="Times New Roman"/>
          <w:sz w:val="28"/>
          <w:szCs w:val="28"/>
          <w:lang w:val="en-US"/>
        </w:rPr>
        <w:t>ve demonstrated enhanced expres</w:t>
      </w:r>
      <w:r w:rsidRPr="00D22C7D">
        <w:rPr>
          <w:rFonts w:ascii="Times New Roman" w:hAnsi="Times New Roman"/>
          <w:sz w:val="28"/>
          <w:szCs w:val="28"/>
          <w:lang w:val="en-US"/>
        </w:rPr>
        <w:t>sion and release of inf</w:t>
      </w:r>
      <w:r>
        <w:rPr>
          <w:rFonts w:ascii="Times New Roman" w:hAnsi="Times New Roman"/>
          <w:sz w:val="28"/>
          <w:szCs w:val="28"/>
          <w:lang w:val="en-US"/>
        </w:rPr>
        <w:t>lammatory cytokines such as tu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mor necrosis factor (TNF)  </w:t>
      </w:r>
      <w:r>
        <w:rPr>
          <w:rFonts w:ascii="Times New Roman" w:hAnsi="Times New Roman"/>
          <w:sz w:val="28"/>
          <w:szCs w:val="28"/>
          <w:lang w:val="en-US"/>
        </w:rPr>
        <w:t>-α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 , interleukin (IL)-1, IL-6,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IL-18, cardiotrophin-1 an</w:t>
      </w:r>
      <w:r>
        <w:rPr>
          <w:rFonts w:ascii="Times New Roman" w:hAnsi="Times New Roman"/>
          <w:sz w:val="28"/>
          <w:szCs w:val="28"/>
          <w:lang w:val="en-US"/>
        </w:rPr>
        <w:t>d Fas ligand, as well as sever</w:t>
      </w:r>
      <w:r w:rsidRPr="00D22C7D">
        <w:rPr>
          <w:rFonts w:ascii="Times New Roman" w:hAnsi="Times New Roman"/>
          <w:sz w:val="28"/>
          <w:szCs w:val="28"/>
          <w:lang w:val="en-US"/>
        </w:rPr>
        <w:t>al chemokines [e.g. monocyte chemoattractant peptide (MCP)-1/CCL2, IL-8/CXCL8 and macrophage inf</w:t>
      </w:r>
      <w:r>
        <w:rPr>
          <w:rFonts w:ascii="Times New Roman" w:hAnsi="Times New Roman"/>
          <w:sz w:val="28"/>
          <w:szCs w:val="28"/>
          <w:lang w:val="en-US"/>
        </w:rPr>
        <w:t>lam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matory protein-1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D22C7D">
        <w:rPr>
          <w:rFonts w:ascii="Times New Roman" w:hAnsi="Times New Roman"/>
          <w:sz w:val="28"/>
          <w:szCs w:val="28"/>
          <w:lang w:val="en-US"/>
        </w:rPr>
        <w:t>/CCL3] in HF patients [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D22C7D">
        <w:rPr>
          <w:rFonts w:ascii="Times New Roman" w:hAnsi="Times New Roman"/>
          <w:sz w:val="28"/>
          <w:szCs w:val="28"/>
          <w:lang w:val="en-US"/>
        </w:rPr>
        <w:t>]. Plasma levels of inflammatory cytokines and chemokines appear to be elevated in direct proportion to deterioration of functional class (i.e. Ne</w:t>
      </w:r>
      <w:r>
        <w:rPr>
          <w:rFonts w:ascii="Times New Roman" w:hAnsi="Times New Roman"/>
          <w:sz w:val="28"/>
          <w:szCs w:val="28"/>
          <w:lang w:val="en-US"/>
        </w:rPr>
        <w:t>w York Heart Association classi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fication) and cardiac performance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i.e. left ventricular </w:t>
      </w:r>
      <w:r>
        <w:rPr>
          <w:rFonts w:ascii="Times New Roman" w:hAnsi="Times New Roman"/>
          <w:sz w:val="28"/>
          <w:szCs w:val="28"/>
          <w:lang w:val="en-US"/>
        </w:rPr>
        <w:t>ejection fraction (LVEF))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D22C7D">
        <w:rPr>
          <w:rFonts w:ascii="Times New Roman" w:hAnsi="Times New Roman"/>
          <w:sz w:val="28"/>
          <w:szCs w:val="28"/>
          <w:lang w:val="en-US"/>
        </w:rPr>
        <w:t>].</w:t>
      </w:r>
    </w:p>
    <w:p w:rsidR="00EB3E38" w:rsidRDefault="00EB3E38" w:rsidP="00BC75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06D9">
        <w:rPr>
          <w:rFonts w:ascii="Times New Roman" w:hAnsi="Times New Roman"/>
          <w:sz w:val="28"/>
          <w:szCs w:val="28"/>
          <w:lang w:val="en-US"/>
        </w:rPr>
        <w:t xml:space="preserve">Pharmacological therapy </w:t>
      </w:r>
      <w:r>
        <w:rPr>
          <w:rFonts w:ascii="Times New Roman" w:hAnsi="Times New Roman"/>
          <w:sz w:val="28"/>
          <w:szCs w:val="28"/>
          <w:lang w:val="en-US"/>
        </w:rPr>
        <w:t xml:space="preserve">of HF </w:t>
      </w:r>
      <w:r w:rsidRPr="006506D9">
        <w:rPr>
          <w:rFonts w:ascii="Times New Roman" w:hAnsi="Times New Roman"/>
          <w:sz w:val="28"/>
          <w:szCs w:val="28"/>
          <w:lang w:val="en-US"/>
        </w:rPr>
        <w:t>including administration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of angiotensin-converting enzyme inhibitor (ACEI) or angiotensin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receptor II blocker (ARB), beta-blocker (BB), and aldosterone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receptor antagonist (AA) can reduce morbidity and mortality 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06D9">
        <w:rPr>
          <w:rFonts w:ascii="Times New Roman" w:hAnsi="Times New Roman"/>
          <w:sz w:val="28"/>
          <w:szCs w:val="28"/>
          <w:lang w:val="en-US"/>
        </w:rPr>
        <w:t>patients with HF.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Ivabradine is a new therapeutic agent designed 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reduce heart rate at rest and during exercise by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selective inhibition of a novel receptor (</w:t>
      </w:r>
      <w:r w:rsidRPr="00D22C7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D22C7D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 channel) located on the pacemaker-cell membrane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within the sinoatrial node. As such, ivabradine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joins a list of rate-limiting medications already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available to prescribers for the control of heart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2C7D">
        <w:rPr>
          <w:rFonts w:ascii="Times New Roman" w:hAnsi="Times New Roman"/>
          <w:sz w:val="28"/>
          <w:szCs w:val="28"/>
          <w:lang w:val="en-US"/>
        </w:rPr>
        <w:t>rate in coronary artery disease (CAD)</w:t>
      </w:r>
      <w:r>
        <w:rPr>
          <w:rFonts w:ascii="Times New Roman" w:hAnsi="Times New Roman"/>
          <w:sz w:val="28"/>
          <w:szCs w:val="28"/>
          <w:lang w:val="en-US"/>
        </w:rPr>
        <w:t xml:space="preserve"> and HF with systolic dysfunction [5]. </w:t>
      </w:r>
      <w:r w:rsidRPr="00BC7541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6F367C">
        <w:rPr>
          <w:rFonts w:ascii="Times New Roman" w:hAnsi="Times New Roman"/>
          <w:sz w:val="28"/>
          <w:szCs w:val="28"/>
          <w:lang w:val="en-US"/>
        </w:rPr>
        <w:t>ω-3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1">
        <w:rPr>
          <w:rFonts w:ascii="Times New Roman" w:hAnsi="Times New Roman"/>
          <w:sz w:val="28"/>
          <w:szCs w:val="28"/>
          <w:lang w:val="en-US"/>
        </w:rPr>
        <w:t>polyunsaturated fatty acids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1">
        <w:rPr>
          <w:rFonts w:ascii="Times New Roman" w:hAnsi="Times New Roman"/>
          <w:sz w:val="28"/>
          <w:szCs w:val="28"/>
          <w:lang w:val="en-US"/>
        </w:rPr>
        <w:t>(PUFA), such as docosahexaenoic acid (DHA) and eicosapentaenoic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541">
        <w:rPr>
          <w:rFonts w:ascii="Times New Roman" w:hAnsi="Times New Roman"/>
          <w:sz w:val="28"/>
          <w:szCs w:val="28"/>
          <w:lang w:val="en-US"/>
        </w:rPr>
        <w:t>acid (EPA), are known as anti-</w:t>
      </w:r>
      <w:r>
        <w:rPr>
          <w:rFonts w:ascii="Times New Roman" w:hAnsi="Times New Roman"/>
          <w:sz w:val="28"/>
          <w:szCs w:val="28"/>
          <w:lang w:val="en-US"/>
        </w:rPr>
        <w:t>inflammatory</w:t>
      </w:r>
      <w:r w:rsidRPr="00BC7541">
        <w:rPr>
          <w:rFonts w:ascii="Times New Roman" w:hAnsi="Times New Roman"/>
          <w:sz w:val="28"/>
          <w:szCs w:val="28"/>
          <w:lang w:val="en-US"/>
        </w:rPr>
        <w:t xml:space="preserve"> factors</w:t>
      </w:r>
      <w:r>
        <w:rPr>
          <w:rFonts w:ascii="Times New Roman" w:hAnsi="Times New Roman"/>
          <w:sz w:val="28"/>
          <w:szCs w:val="28"/>
          <w:lang w:val="en-US"/>
        </w:rPr>
        <w:t xml:space="preserve">, and are using for HF treatment [5]. </w:t>
      </w:r>
    </w:p>
    <w:p w:rsidR="00EB3E38" w:rsidRDefault="00EB3E38" w:rsidP="00BC75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data for ivabradine influence for cytokine’ cascade are poor; but for PUFA – controversial.</w:t>
      </w:r>
    </w:p>
    <w:p w:rsidR="00EB3E38" w:rsidRDefault="00EB3E38" w:rsidP="00136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The aim of study </w:t>
      </w:r>
      <w:r>
        <w:rPr>
          <w:rFonts w:ascii="Times New Roman" w:hAnsi="Times New Roman"/>
          <w:sz w:val="28"/>
          <w:szCs w:val="28"/>
          <w:lang w:val="en-US"/>
        </w:rPr>
        <w:t xml:space="preserve">was to evaluate of possible influence of ivabradine and </w:t>
      </w:r>
      <w:r w:rsidRPr="006F367C">
        <w:rPr>
          <w:rFonts w:ascii="Times New Roman" w:hAnsi="Times New Roman"/>
          <w:sz w:val="28"/>
          <w:szCs w:val="28"/>
          <w:lang w:val="en-US"/>
        </w:rPr>
        <w:t>ω-3 polyunsaturated fatty acids</w:t>
      </w:r>
      <w:r>
        <w:rPr>
          <w:rFonts w:ascii="Times New Roman" w:hAnsi="Times New Roman"/>
          <w:sz w:val="28"/>
          <w:szCs w:val="28"/>
          <w:lang w:val="en-US"/>
        </w:rPr>
        <w:t xml:space="preserve"> for pro- and anti-inflammatory cytokines level in patients with ischemic heart failure.</w:t>
      </w:r>
    </w:p>
    <w:p w:rsidR="00EB3E38" w:rsidRDefault="00EB3E38" w:rsidP="00136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Material and Methods. </w:t>
      </w:r>
      <w:r>
        <w:rPr>
          <w:rFonts w:ascii="Times New Roman" w:hAnsi="Times New Roman"/>
          <w:sz w:val="28"/>
          <w:szCs w:val="28"/>
          <w:lang w:val="en-US"/>
        </w:rPr>
        <w:t xml:space="preserve">357 patients with ischemic HF and sinus rhythm were observed. In accordance to treatment all patients were divided into four groups: I group – basic treatment (89 patients); II group - basic treatment and Ivabradine (Coraxan, </w:t>
      </w:r>
      <w:r w:rsidRPr="00A20B4E">
        <w:rPr>
          <w:rFonts w:ascii="Times New Roman" w:hAnsi="Times New Roman"/>
          <w:sz w:val="28"/>
          <w:szCs w:val="28"/>
        </w:rPr>
        <w:t>Les Laboratoires Servier Іndustrie,</w:t>
      </w:r>
      <w:r>
        <w:rPr>
          <w:rFonts w:ascii="Times New Roman" w:hAnsi="Times New Roman"/>
          <w:sz w:val="28"/>
          <w:szCs w:val="28"/>
          <w:lang w:val="en-US"/>
        </w:rPr>
        <w:t xml:space="preserve"> France) – 5 or 7,5 mg twice a day (depends of heart rate); III group - basic treatment and PUFA (Omacor, </w:t>
      </w:r>
      <w:r w:rsidRPr="00BD6019">
        <w:rPr>
          <w:rFonts w:ascii="Times New Roman" w:hAnsi="Times New Roman"/>
          <w:sz w:val="28"/>
          <w:szCs w:val="28"/>
        </w:rPr>
        <w:t>Abbott Laboratories GmbH</w:t>
      </w:r>
      <w:r>
        <w:rPr>
          <w:rFonts w:ascii="Times New Roman" w:hAnsi="Times New Roman"/>
          <w:sz w:val="28"/>
          <w:szCs w:val="28"/>
          <w:lang w:val="en-US"/>
        </w:rPr>
        <w:t xml:space="preserve">, USA) – 1000 mg per day; IV group – basic treatment with Ivabradibe and PUFA in similar doses. All patients were examined before and after 6 months of treatment. Control group – 30 practically healthy persons. </w:t>
      </w:r>
      <w:r w:rsidRPr="000F76AC">
        <w:rPr>
          <w:rFonts w:ascii="Times New Roman" w:hAnsi="Times New Roman"/>
          <w:sz w:val="28"/>
          <w:szCs w:val="28"/>
          <w:lang w:val="en-US"/>
        </w:rPr>
        <w:t>The study was perfo</w:t>
      </w:r>
      <w:r>
        <w:rPr>
          <w:rFonts w:ascii="Times New Roman" w:hAnsi="Times New Roman"/>
          <w:sz w:val="28"/>
          <w:szCs w:val="28"/>
          <w:lang w:val="en-US"/>
        </w:rPr>
        <w:t>rmed in accordance with the Helsinki</w:t>
      </w:r>
      <w:r w:rsidRPr="000F76AC">
        <w:rPr>
          <w:rFonts w:ascii="Times New Roman" w:hAnsi="Times New Roman"/>
          <w:sz w:val="28"/>
          <w:szCs w:val="28"/>
          <w:lang w:val="en-US"/>
        </w:rPr>
        <w:t xml:space="preserve"> Declaration a</w:t>
      </w:r>
      <w:r>
        <w:rPr>
          <w:rFonts w:ascii="Times New Roman" w:hAnsi="Times New Roman"/>
          <w:sz w:val="28"/>
          <w:szCs w:val="28"/>
          <w:lang w:val="en-US"/>
        </w:rPr>
        <w:t>nd Good Clinical Practice Guide</w:t>
      </w:r>
      <w:r w:rsidRPr="000F76AC"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  <w:lang w:val="en-US"/>
        </w:rPr>
        <w:t xml:space="preserve"> [6]</w:t>
      </w:r>
      <w:r w:rsidRPr="000F76A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D35D1">
        <w:rPr>
          <w:rFonts w:ascii="Times New Roman" w:hAnsi="Times New Roman"/>
          <w:sz w:val="28"/>
          <w:szCs w:val="28"/>
          <w:lang w:eastAsia="ru-RU"/>
        </w:rPr>
        <w:t>The study was approved by the local ethics committee and</w:t>
      </w:r>
      <w:r w:rsidRPr="007E555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D35D1">
        <w:rPr>
          <w:rFonts w:ascii="Times New Roman" w:hAnsi="Times New Roman"/>
          <w:sz w:val="28"/>
          <w:szCs w:val="28"/>
          <w:lang w:eastAsia="ru-RU"/>
        </w:rPr>
        <w:t xml:space="preserve">written informed </w:t>
      </w:r>
      <w:r w:rsidRPr="007E555B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D35D1">
        <w:rPr>
          <w:rFonts w:ascii="Times New Roman" w:hAnsi="Times New Roman"/>
          <w:sz w:val="28"/>
          <w:szCs w:val="28"/>
          <w:lang w:eastAsia="ru-RU"/>
        </w:rPr>
        <w:t>onsent was obtained from all patients.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EB3E38" w:rsidRDefault="00EB3E38" w:rsidP="00136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interleukin 1</w:t>
      </w:r>
      <w:r w:rsidRPr="00730B16">
        <w:rPr>
          <w:rFonts w:ascii="Times New Roman" w:hAnsi="Times New Roman"/>
          <w:sz w:val="28"/>
          <w:szCs w:val="28"/>
          <w:lang w:val="en-US"/>
        </w:rPr>
        <w:sym w:font="Symbol" w:char="F062"/>
      </w:r>
      <w:r>
        <w:rPr>
          <w:rFonts w:ascii="Times New Roman" w:hAnsi="Times New Roman"/>
          <w:sz w:val="28"/>
          <w:szCs w:val="28"/>
          <w:lang w:val="en-US"/>
        </w:rPr>
        <w:t xml:space="preserve"> (IL-1</w:t>
      </w:r>
      <w:r w:rsidRPr="00730B16">
        <w:rPr>
          <w:rFonts w:ascii="Times New Roman" w:hAnsi="Times New Roman"/>
          <w:sz w:val="28"/>
          <w:szCs w:val="28"/>
          <w:lang w:val="en-US"/>
        </w:rPr>
        <w:sym w:font="Symbol" w:char="F062"/>
      </w:r>
      <w:r>
        <w:rPr>
          <w:rFonts w:ascii="Times New Roman" w:hAnsi="Times New Roman"/>
          <w:sz w:val="28"/>
          <w:szCs w:val="28"/>
          <w:lang w:val="en-US"/>
        </w:rPr>
        <w:t>), interleukin 6 (IL-6), and interleukin 10 (IL-10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B16">
        <w:rPr>
          <w:rFonts w:ascii="Times New Roman" w:hAnsi="Times New Roman"/>
          <w:sz w:val="28"/>
          <w:szCs w:val="28"/>
          <w:lang w:val="en-US"/>
        </w:rPr>
        <w:t xml:space="preserve">levels </w:t>
      </w:r>
      <w:r>
        <w:rPr>
          <w:rFonts w:ascii="Times New Roman" w:hAnsi="Times New Roman"/>
          <w:sz w:val="28"/>
          <w:szCs w:val="28"/>
          <w:lang w:val="en-US"/>
        </w:rPr>
        <w:t xml:space="preserve">in serum </w:t>
      </w:r>
      <w:r w:rsidRPr="00730B16">
        <w:rPr>
          <w:rFonts w:ascii="Times New Roman" w:hAnsi="Times New Roman"/>
          <w:sz w:val="28"/>
          <w:szCs w:val="28"/>
          <w:lang w:val="en-US"/>
        </w:rPr>
        <w:t>were determined using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B16">
        <w:rPr>
          <w:rFonts w:ascii="Times New Roman" w:hAnsi="Times New Roman"/>
          <w:sz w:val="28"/>
          <w:szCs w:val="28"/>
          <w:lang w:val="en-US"/>
        </w:rPr>
        <w:t>commercial ELISA kits (ProCon</w:t>
      </w:r>
      <w:r>
        <w:rPr>
          <w:rFonts w:ascii="Times New Roman" w:hAnsi="Times New Roman"/>
          <w:sz w:val="28"/>
          <w:szCs w:val="28"/>
          <w:lang w:val="en-US"/>
        </w:rPr>
        <w:t xml:space="preserve">, Russia;  </w:t>
      </w:r>
      <w:r w:rsidRPr="00730B16">
        <w:rPr>
          <w:rFonts w:ascii="Times New Roman" w:hAnsi="Times New Roman"/>
          <w:sz w:val="28"/>
          <w:szCs w:val="28"/>
          <w:lang w:val="en-US"/>
        </w:rPr>
        <w:t>Amersham Pharmacia Biotech,</w:t>
      </w:r>
      <w:r w:rsidRPr="00730B16">
        <w:rPr>
          <w:lang w:val="en-US"/>
        </w:rPr>
        <w:t xml:space="preserve"> </w:t>
      </w:r>
      <w:r w:rsidRPr="00730B16">
        <w:rPr>
          <w:rFonts w:ascii="Times New Roman" w:hAnsi="Times New Roman"/>
          <w:sz w:val="28"/>
          <w:szCs w:val="28"/>
          <w:lang w:val="en-US"/>
        </w:rPr>
        <w:t>UK)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30B16">
        <w:rPr>
          <w:rFonts w:ascii="Times New Roman" w:hAnsi="Times New Roman"/>
          <w:sz w:val="28"/>
          <w:szCs w:val="28"/>
          <w:lang w:val="en-US"/>
        </w:rPr>
        <w:t>ccording to 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B16">
        <w:rPr>
          <w:rFonts w:ascii="Times New Roman" w:hAnsi="Times New Roman"/>
          <w:sz w:val="28"/>
          <w:szCs w:val="28"/>
          <w:lang w:val="en-US"/>
        </w:rPr>
        <w:t>manufacturer’s instructions.</w:t>
      </w:r>
    </w:p>
    <w:p w:rsidR="00EB3E38" w:rsidRDefault="00EB3E38" w:rsidP="00136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0B16">
        <w:rPr>
          <w:rFonts w:ascii="Times New Roman" w:hAnsi="Times New Roman"/>
          <w:sz w:val="28"/>
          <w:szCs w:val="28"/>
          <w:lang w:val="en-US"/>
        </w:rPr>
        <w:t xml:space="preserve">Statistical analyses were performed using the Statistica 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Pr="00730B1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730B16">
        <w:rPr>
          <w:rFonts w:ascii="Times New Roman" w:hAnsi="Times New Roman"/>
          <w:sz w:val="28"/>
          <w:szCs w:val="28"/>
          <w:lang w:val="en-US"/>
        </w:rPr>
        <w:t xml:space="preserve"> (StatSoft, </w:t>
      </w:r>
      <w:smartTag w:uri="urn:schemas-microsoft-com:office:smarttags" w:element="place">
        <w:smartTag w:uri="urn:schemas-microsoft-com:office:smarttags" w:element="City">
          <w:r w:rsidRPr="00730B16">
            <w:rPr>
              <w:rFonts w:ascii="Times New Roman" w:hAnsi="Times New Roman"/>
              <w:sz w:val="28"/>
              <w:szCs w:val="28"/>
              <w:lang w:val="en-US"/>
            </w:rPr>
            <w:t>Tulsa</w:t>
          </w:r>
        </w:smartTag>
        <w:r w:rsidRPr="00730B16">
          <w:rPr>
            <w:rFonts w:ascii="Times New Roman" w:hAnsi="Times New Roman"/>
            <w:sz w:val="28"/>
            <w:szCs w:val="28"/>
            <w:lang w:val="en-US"/>
          </w:rPr>
          <w:t>,</w:t>
        </w:r>
        <w:r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730B16">
            <w:rPr>
              <w:rFonts w:ascii="Times New Roman" w:hAnsi="Times New Roman"/>
              <w:sz w:val="28"/>
              <w:szCs w:val="28"/>
              <w:lang w:val="en-US"/>
            </w:rPr>
            <w:t>OK</w:t>
          </w:r>
        </w:smartTag>
        <w:r w:rsidRPr="00730B16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730B16">
            <w:rPr>
              <w:rFonts w:ascii="Times New Roman" w:hAnsi="Times New Roman"/>
              <w:sz w:val="28"/>
              <w:szCs w:val="28"/>
              <w:lang w:val="en-US"/>
            </w:rPr>
            <w:t>USA</w:t>
          </w:r>
        </w:smartTag>
      </w:smartTag>
      <w:r w:rsidRPr="00730B16">
        <w:rPr>
          <w:rFonts w:ascii="Times New Roman" w:hAnsi="Times New Roman"/>
          <w:sz w:val="28"/>
          <w:szCs w:val="28"/>
          <w:lang w:val="en-US"/>
        </w:rPr>
        <w:t>). Statistical significance was assumed at</w:t>
      </w:r>
      <w:r>
        <w:rPr>
          <w:rFonts w:ascii="Times New Roman" w:hAnsi="Times New Roman"/>
          <w:sz w:val="28"/>
          <w:szCs w:val="28"/>
          <w:lang w:val="en-US"/>
        </w:rPr>
        <w:t xml:space="preserve"> p&lt;</w:t>
      </w:r>
      <w:r w:rsidRPr="00730B16">
        <w:rPr>
          <w:rFonts w:ascii="Times New Roman" w:hAnsi="Times New Roman"/>
          <w:sz w:val="28"/>
          <w:szCs w:val="28"/>
          <w:lang w:val="en-US"/>
        </w:rPr>
        <w:t>0.05.</w:t>
      </w:r>
    </w:p>
    <w:p w:rsidR="00EB3E38" w:rsidRPr="00192F54" w:rsidRDefault="00EB3E38" w:rsidP="00136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Results and Discussion.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average age of observed patients with HF was </w:t>
      </w:r>
      <w:r w:rsidRPr="00A91F47">
        <w:rPr>
          <w:rFonts w:ascii="Times New Roman" w:hAnsi="Times New Roman"/>
          <w:sz w:val="28"/>
          <w:szCs w:val="28"/>
        </w:rPr>
        <w:t>(67,</w:t>
      </w:r>
      <w:r>
        <w:rPr>
          <w:rFonts w:ascii="Times New Roman" w:hAnsi="Times New Roman"/>
          <w:sz w:val="28"/>
          <w:szCs w:val="28"/>
        </w:rPr>
        <w:t>98</w:t>
      </w:r>
      <w:r w:rsidRPr="00A91F47">
        <w:rPr>
          <w:rFonts w:ascii="Times New Roman" w:hAnsi="Times New Roman"/>
          <w:sz w:val="28"/>
          <w:szCs w:val="28"/>
        </w:rPr>
        <w:t>±1</w:t>
      </w:r>
      <w:r>
        <w:rPr>
          <w:rFonts w:ascii="Times New Roman" w:hAnsi="Times New Roman"/>
          <w:sz w:val="28"/>
          <w:szCs w:val="28"/>
        </w:rPr>
        <w:t>2</w:t>
      </w:r>
      <w:r w:rsidRPr="00A91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A91F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years.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Among all patients </w:t>
      </w:r>
      <w:r>
        <w:rPr>
          <w:rFonts w:ascii="Times New Roman" w:hAnsi="Times New Roman"/>
          <w:sz w:val="28"/>
          <w:szCs w:val="28"/>
        </w:rPr>
        <w:t>278</w:t>
      </w:r>
      <w:r w:rsidRPr="00A9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persons</w:t>
      </w:r>
      <w:r w:rsidRPr="00A91F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77,82</w:t>
      </w:r>
      <w:r w:rsidRPr="00A91F47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  <w:lang w:val="en-US"/>
        </w:rPr>
        <w:t xml:space="preserve"> were males. HF FC</w:t>
      </w:r>
    </w:p>
    <w:p w:rsidR="00EB3E38" w:rsidRDefault="00EB3E38" w:rsidP="00650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1F47">
        <w:rPr>
          <w:rFonts w:ascii="Times New Roman" w:hAnsi="Times New Roman"/>
          <w:sz w:val="28"/>
          <w:szCs w:val="28"/>
        </w:rPr>
        <w:t>ІІ (</w:t>
      </w:r>
      <w:r w:rsidRPr="00A91F47">
        <w:rPr>
          <w:rFonts w:ascii="Times New Roman" w:hAnsi="Times New Roman"/>
          <w:sz w:val="28"/>
          <w:szCs w:val="28"/>
          <w:lang w:val="en-US"/>
        </w:rPr>
        <w:t xml:space="preserve">NYHA) </w:t>
      </w:r>
      <w:r>
        <w:rPr>
          <w:rFonts w:ascii="Times New Roman" w:hAnsi="Times New Roman"/>
          <w:sz w:val="28"/>
          <w:szCs w:val="28"/>
          <w:lang w:val="en-US"/>
        </w:rPr>
        <w:t>was verified in</w:t>
      </w:r>
      <w:r w:rsidRPr="00A9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</w:t>
      </w:r>
      <w:r w:rsidRPr="00A9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patients</w:t>
      </w:r>
      <w:r w:rsidRPr="00A91F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A91F47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65</w:t>
      </w:r>
      <w:r w:rsidRPr="00A91F47">
        <w:rPr>
          <w:rFonts w:ascii="Times New Roman" w:hAnsi="Times New Roman"/>
          <w:sz w:val="28"/>
          <w:szCs w:val="28"/>
        </w:rPr>
        <w:t xml:space="preserve"> %); ІІІ –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A9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238</w:t>
      </w:r>
      <w:r w:rsidRPr="00A91F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66</w:t>
      </w:r>
      <w:r w:rsidRPr="00A91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67</w:t>
      </w:r>
      <w:r w:rsidRPr="00A91F47">
        <w:rPr>
          <w:rFonts w:ascii="Times New Roman" w:hAnsi="Times New Roman"/>
          <w:sz w:val="28"/>
          <w:szCs w:val="28"/>
        </w:rPr>
        <w:t xml:space="preserve"> %); </w:t>
      </w:r>
      <w:r w:rsidRPr="00A91F47">
        <w:rPr>
          <w:rFonts w:ascii="Times New Roman" w:hAnsi="Times New Roman"/>
          <w:sz w:val="28"/>
          <w:szCs w:val="28"/>
          <w:lang w:val="en-US"/>
        </w:rPr>
        <w:t xml:space="preserve">IV –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A9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Pr="00A91F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</w:t>
      </w:r>
      <w:r w:rsidRPr="00A91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91F47">
        <w:rPr>
          <w:rFonts w:ascii="Times New Roman" w:hAnsi="Times New Roman"/>
          <w:sz w:val="28"/>
          <w:szCs w:val="28"/>
        </w:rPr>
        <w:t>8 %).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91F47">
        <w:rPr>
          <w:rFonts w:ascii="Times New Roman" w:hAnsi="Times New Roman"/>
          <w:sz w:val="28"/>
          <w:szCs w:val="28"/>
        </w:rPr>
        <w:t>67 (</w:t>
      </w:r>
      <w:r>
        <w:rPr>
          <w:rFonts w:ascii="Times New Roman" w:hAnsi="Times New Roman"/>
          <w:sz w:val="28"/>
          <w:szCs w:val="28"/>
        </w:rPr>
        <w:t>74</w:t>
      </w:r>
      <w:r w:rsidRPr="00A91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A91F47">
        <w:rPr>
          <w:rFonts w:ascii="Times New Roman" w:hAnsi="Times New Roman"/>
          <w:sz w:val="28"/>
          <w:szCs w:val="28"/>
        </w:rPr>
        <w:t xml:space="preserve">8 %) </w:t>
      </w:r>
      <w:r>
        <w:rPr>
          <w:rFonts w:ascii="Times New Roman" w:hAnsi="Times New Roman"/>
          <w:sz w:val="28"/>
          <w:szCs w:val="28"/>
          <w:lang w:val="en-US"/>
        </w:rPr>
        <w:t>patients with HF had history of myocardial infarction;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F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91F47">
        <w:rPr>
          <w:rFonts w:ascii="Times New Roman" w:hAnsi="Times New Roman"/>
          <w:sz w:val="28"/>
          <w:szCs w:val="28"/>
        </w:rPr>
        <w:t xml:space="preserve"> (7,</w:t>
      </w:r>
      <w:r>
        <w:rPr>
          <w:rFonts w:ascii="Times New Roman" w:hAnsi="Times New Roman"/>
          <w:sz w:val="28"/>
          <w:szCs w:val="28"/>
        </w:rPr>
        <w:t>56</w:t>
      </w:r>
      <w:r w:rsidRPr="00A91F47">
        <w:rPr>
          <w:rFonts w:ascii="Times New Roman" w:hAnsi="Times New Roman"/>
          <w:sz w:val="28"/>
          <w:szCs w:val="28"/>
        </w:rPr>
        <w:t xml:space="preserve"> %) </w:t>
      </w:r>
      <w:r>
        <w:rPr>
          <w:rFonts w:ascii="Times New Roman" w:hAnsi="Times New Roman"/>
          <w:sz w:val="28"/>
          <w:szCs w:val="28"/>
          <w:lang w:val="en-US"/>
        </w:rPr>
        <w:t>had recurrent ones</w:t>
      </w:r>
      <w:r w:rsidRPr="00A91F47">
        <w:rPr>
          <w:rFonts w:ascii="Times New Roman" w:hAnsi="Times New Roman"/>
          <w:sz w:val="28"/>
          <w:szCs w:val="28"/>
        </w:rPr>
        <w:t xml:space="preserve">. </w:t>
      </w:r>
    </w:p>
    <w:p w:rsidR="00EB3E38" w:rsidRDefault="00EB3E38" w:rsidP="006506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HF is characterized by pro-inflammatory cytokine levels increase. The middle levels of IL-1</w:t>
      </w:r>
      <w:r w:rsidRPr="00730B16">
        <w:rPr>
          <w:rFonts w:ascii="Times New Roman" w:hAnsi="Times New Roman"/>
          <w:sz w:val="28"/>
          <w:szCs w:val="28"/>
          <w:lang w:val="en-US"/>
        </w:rPr>
        <w:sym w:font="Symbol" w:char="F062"/>
      </w:r>
      <w:r>
        <w:rPr>
          <w:rFonts w:ascii="Times New Roman" w:hAnsi="Times New Roman"/>
          <w:sz w:val="28"/>
          <w:szCs w:val="28"/>
          <w:lang w:val="en-US"/>
        </w:rPr>
        <w:t xml:space="preserve"> was </w:t>
      </w:r>
      <w:r>
        <w:rPr>
          <w:rFonts w:ascii="Times New Roman" w:hAnsi="Times New Roman"/>
          <w:sz w:val="28"/>
          <w:szCs w:val="28"/>
        </w:rPr>
        <w:t xml:space="preserve">(49,29±3,78)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versus</w:t>
      </w:r>
      <w:r>
        <w:rPr>
          <w:rFonts w:ascii="Times New Roman" w:hAnsi="Times New Roman"/>
          <w:sz w:val="28"/>
          <w:szCs w:val="28"/>
        </w:rPr>
        <w:t xml:space="preserve"> (25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  <w:lang w:val="en-US"/>
        </w:rPr>
        <w:t>±3,71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 control group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p&lt;0,001); IL-6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(15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47±0,52) 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versus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7,19±0,67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respectively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p&lt;0,001)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Their concentrations were increased due raise of HF class.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 serum level of anti-inflammatory IL-10 was insignificant lower</w:t>
      </w:r>
      <w:r>
        <w:rPr>
          <w:rFonts w:ascii="Times New Roman" w:hAnsi="Times New Roman"/>
          <w:sz w:val="28"/>
          <w:szCs w:val="28"/>
        </w:rPr>
        <w:t xml:space="preserve">: (3,12±0,37)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versus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3,46±0,57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 control group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(p&gt;0,05).</w:t>
      </w:r>
    </w:p>
    <w:p w:rsidR="00EB3E38" w:rsidRDefault="00EB3E38" w:rsidP="009F0C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During treatment we observed decrease of serum IL-1β level in all groups of patients (see tab. 1). In particular, in first group this parameter was decreased for </w:t>
      </w:r>
      <w:r>
        <w:rPr>
          <w:rFonts w:ascii="Times New Roman" w:hAnsi="Times New Roman"/>
          <w:sz w:val="28"/>
          <w:szCs w:val="28"/>
        </w:rPr>
        <w:t xml:space="preserve">25,5%: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(47,51±3,68)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(35,41±3,11)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More strong changes were observed in group with additional use of ivabradine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where the IL-1β level decreased for</w:t>
      </w:r>
      <w:r>
        <w:rPr>
          <w:rFonts w:ascii="Times New Roman" w:hAnsi="Times New Roman"/>
          <w:sz w:val="28"/>
          <w:szCs w:val="28"/>
        </w:rPr>
        <w:t xml:space="preserve"> 32,6%: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(51,21±3,79)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(34,49±2,97)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Additional prescription of PUFA caused of IL-1 reduction for</w:t>
      </w:r>
      <w:r>
        <w:rPr>
          <w:rFonts w:ascii="Times New Roman" w:hAnsi="Times New Roman"/>
          <w:sz w:val="28"/>
          <w:szCs w:val="28"/>
        </w:rPr>
        <w:t xml:space="preserve"> 35,9%: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(50,13±3,62)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(32,12±3,14)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 forth group this parameter decreased for</w:t>
      </w:r>
      <w:r>
        <w:rPr>
          <w:rFonts w:ascii="Times New Roman" w:hAnsi="Times New Roman"/>
          <w:sz w:val="28"/>
          <w:szCs w:val="28"/>
        </w:rPr>
        <w:t xml:space="preserve"> 44,4%: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(48,92±3,81)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(27,21±3,17)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1)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and was same like in control group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(p&gt;0,05)</w:t>
      </w:r>
      <w:r>
        <w:rPr>
          <w:rFonts w:ascii="Times New Roman" w:hAnsi="Times New Roman"/>
          <w:sz w:val="28"/>
          <w:szCs w:val="28"/>
        </w:rPr>
        <w:t>.</w:t>
      </w:r>
    </w:p>
    <w:p w:rsidR="00EB3E38" w:rsidRDefault="00EB3E38" w:rsidP="009F0C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medications of basic treatment decreased of serum IL-6 level for</w:t>
      </w:r>
      <w:r>
        <w:rPr>
          <w:rFonts w:ascii="Times New Roman" w:hAnsi="Times New Roman"/>
          <w:sz w:val="28"/>
          <w:szCs w:val="28"/>
        </w:rPr>
        <w:t xml:space="preserve"> 30%: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(14,71±0,71)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(10,29±0,54)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p&lt;0,05). The its dynamics in second group was higher</w:t>
      </w:r>
      <w:r>
        <w:rPr>
          <w:rFonts w:ascii="Times New Roman" w:hAnsi="Times New Roman"/>
          <w:sz w:val="28"/>
          <w:szCs w:val="28"/>
        </w:rPr>
        <w:t xml:space="preserve"> – 37,6%: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(16,31±0,49)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(10,17±0,39)</w:t>
      </w:r>
      <w:r w:rsidRPr="00D9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The more strong changes were caused by additional use of PUFA or their combination with ivabradin. In particular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 third group - for</w:t>
      </w:r>
      <w:r>
        <w:rPr>
          <w:rFonts w:ascii="Times New Roman" w:hAnsi="Times New Roman"/>
          <w:sz w:val="28"/>
          <w:szCs w:val="28"/>
        </w:rPr>
        <w:t xml:space="preserve"> 45,9%: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(15,11±0,51)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(8,18±0,47)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in forth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</w:rPr>
        <w:t xml:space="preserve"> 48,6%: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(15,82±0,47)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(8,13±0,41)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>.</w:t>
      </w:r>
      <w:r w:rsidRPr="004E0092">
        <w:rPr>
          <w:rFonts w:ascii="Times New Roman" w:hAnsi="Times New Roman"/>
          <w:sz w:val="28"/>
          <w:szCs w:val="28"/>
        </w:rPr>
        <w:t xml:space="preserve"> </w:t>
      </w:r>
    </w:p>
    <w:p w:rsidR="00EB3E38" w:rsidRPr="00760F64" w:rsidRDefault="00EB3E38" w:rsidP="009F0C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0721">
        <w:rPr>
          <w:rFonts w:ascii="Times New Roman" w:hAnsi="Times New Roman"/>
          <w:sz w:val="28"/>
          <w:szCs w:val="28"/>
        </w:rPr>
        <w:t>More than any other cytokine family, the IL-1 family of ligands and receptors is primarily associated with acute and chronic inflammation. The cytosolic segment of each IL-1 receptor family member contains the Toll-IL-1-receptor domain. This domain is also present in each Toll-like receptor, the receptors that respond to microbial products and viruses. Since Toll-IL-1-receptor domains are functional for both receptor families, responses to the IL-1 family are fundamental to innate immunity</w:t>
      </w:r>
      <w:r>
        <w:rPr>
          <w:rFonts w:ascii="Times New Roman" w:hAnsi="Times New Roman"/>
          <w:sz w:val="28"/>
          <w:szCs w:val="28"/>
          <w:lang w:val="en-US"/>
        </w:rPr>
        <w:t xml:space="preserve"> [3]</w:t>
      </w:r>
      <w:r w:rsidRPr="009C07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0092">
        <w:rPr>
          <w:rFonts w:ascii="Times New Roman" w:hAnsi="Times New Roman"/>
          <w:sz w:val="28"/>
          <w:szCs w:val="28"/>
        </w:rPr>
        <w:t>IL-6 plays a pivotal role during the transition from innate to acquired immunity</w:t>
      </w:r>
      <w:r w:rsidRPr="004E00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E0092">
        <w:rPr>
          <w:rFonts w:ascii="Times New Roman" w:hAnsi="Times New Roman"/>
          <w:sz w:val="28"/>
          <w:szCs w:val="28"/>
        </w:rPr>
        <w:t>in the control of metabolism</w:t>
      </w:r>
      <w:r w:rsidRPr="004E0092">
        <w:rPr>
          <w:rFonts w:ascii="Times New Roman" w:hAnsi="Times New Roman"/>
          <w:sz w:val="28"/>
          <w:szCs w:val="28"/>
          <w:lang w:val="en-US"/>
        </w:rPr>
        <w:t>, in pain, acute and chronic inflammation etc. [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Pr="004E0092">
        <w:rPr>
          <w:rFonts w:ascii="Times New Roman" w:hAnsi="Times New Roman"/>
          <w:sz w:val="28"/>
          <w:szCs w:val="28"/>
          <w:lang w:val="en-US"/>
        </w:rPr>
        <w:t>].</w:t>
      </w:r>
      <w:r>
        <w:rPr>
          <w:rFonts w:ascii="Times New Roman" w:hAnsi="Times New Roman"/>
          <w:sz w:val="28"/>
          <w:szCs w:val="28"/>
          <w:lang w:val="en-US"/>
        </w:rPr>
        <w:t xml:space="preserve"> There are different experimental and clinical trials which showed the anti-inflammatory effects of statins and RAAS blockers (i.e. decrease of pro-inflammatory cytokines levels) [1, 4, 6].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 same results we observed in our research too.</w:t>
      </w:r>
    </w:p>
    <w:p w:rsidR="00EB3E38" w:rsidRDefault="00EB3E38" w:rsidP="001517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All therapeutic schemes caused to raising of IL-10 levels in HF patients blood. But more strong changes were observed in groups with PUFA. In third group its growth was </w:t>
      </w:r>
      <w:r>
        <w:rPr>
          <w:rFonts w:ascii="Times New Roman" w:hAnsi="Times New Roman"/>
          <w:sz w:val="28"/>
          <w:szCs w:val="28"/>
        </w:rPr>
        <w:t xml:space="preserve">26%: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(3,10±0,35)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(4,19±0,29)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in patients of Iv group</w:t>
      </w:r>
      <w:r>
        <w:rPr>
          <w:rFonts w:ascii="Times New Roman" w:hAnsi="Times New Roman"/>
          <w:sz w:val="28"/>
          <w:szCs w:val="28"/>
        </w:rPr>
        <w:t xml:space="preserve"> –26,1%: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(3,11±0,35)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(4,21±0,31)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p&lt;0,01)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 first group this value increased for</w:t>
      </w:r>
      <w:r>
        <w:rPr>
          <w:rFonts w:ascii="Times New Roman" w:hAnsi="Times New Roman"/>
          <w:sz w:val="28"/>
          <w:szCs w:val="28"/>
        </w:rPr>
        <w:t xml:space="preserve"> 21,4%: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(3,12±0,31)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(3,97±0,27)</w:t>
      </w:r>
      <w:r w:rsidRPr="0028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in second group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</w:rPr>
        <w:t xml:space="preserve"> 20,6%: 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</w:rPr>
        <w:t xml:space="preserve"> (3,17±0,41) </w:t>
      </w:r>
      <w:r>
        <w:rPr>
          <w:rFonts w:ascii="Times New Roman" w:hAnsi="Times New Roman"/>
          <w:sz w:val="28"/>
          <w:szCs w:val="28"/>
          <w:lang w:val="en-US"/>
        </w:rPr>
        <w:t>pg/ml to</w:t>
      </w:r>
      <w:r>
        <w:rPr>
          <w:rFonts w:ascii="Times New Roman" w:hAnsi="Times New Roman"/>
          <w:sz w:val="28"/>
          <w:szCs w:val="28"/>
        </w:rPr>
        <w:t xml:space="preserve"> (3,99±0,21) </w:t>
      </w:r>
      <w:r>
        <w:rPr>
          <w:rFonts w:ascii="Times New Roman" w:hAnsi="Times New Roman"/>
          <w:sz w:val="28"/>
          <w:szCs w:val="28"/>
          <w:lang w:val="en-US"/>
        </w:rPr>
        <w:t>pg/ml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p&lt;0,0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For our opinion, this is result of basic treatment influences, but not ivabradine.</w:t>
      </w:r>
    </w:p>
    <w:p w:rsidR="00EB3E38" w:rsidRDefault="00EB3E38" w:rsidP="001517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5175A">
        <w:rPr>
          <w:rFonts w:ascii="Times New Roman" w:hAnsi="Times New Roman"/>
          <w:sz w:val="28"/>
          <w:szCs w:val="28"/>
          <w:lang w:val="en-US"/>
        </w:rPr>
        <w:t>IL-10 is a regulatory cytoki</w:t>
      </w:r>
      <w:r>
        <w:rPr>
          <w:rFonts w:ascii="Times New Roman" w:hAnsi="Times New Roman"/>
          <w:sz w:val="28"/>
          <w:szCs w:val="28"/>
          <w:lang w:val="en-US"/>
        </w:rPr>
        <w:t>ne with anti-inﬂammatory proper</w:t>
      </w:r>
      <w:r w:rsidRPr="0015175A">
        <w:rPr>
          <w:rFonts w:ascii="Times New Roman" w:hAnsi="Times New Roman"/>
          <w:sz w:val="28"/>
          <w:szCs w:val="28"/>
          <w:lang w:val="en-US"/>
        </w:rPr>
        <w:t>ties, potently inhibiting the capacity of innate immune cells 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75A">
        <w:rPr>
          <w:rFonts w:ascii="Times New Roman" w:hAnsi="Times New Roman"/>
          <w:sz w:val="28"/>
          <w:szCs w:val="28"/>
          <w:lang w:val="en-US"/>
        </w:rPr>
        <w:t>produce inﬂammatory mediators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B3E38" w:rsidRDefault="00EB3E38" w:rsidP="00DF1F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Established, that ω</w:t>
      </w:r>
      <w:r w:rsidRPr="00DF1F7B">
        <w:rPr>
          <w:rFonts w:ascii="Times New Roman" w:hAnsi="Times New Roman"/>
          <w:sz w:val="28"/>
          <w:szCs w:val="28"/>
          <w:lang w:val="en-US"/>
        </w:rPr>
        <w:t>-3 PUFA concentrations are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F7B">
        <w:rPr>
          <w:rFonts w:ascii="Times New Roman" w:hAnsi="Times New Roman"/>
          <w:sz w:val="28"/>
          <w:szCs w:val="28"/>
          <w:lang w:val="en-US"/>
        </w:rPr>
        <w:t>negatively correlated with several pro-inflammatory biomarkers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F7B">
        <w:rPr>
          <w:rFonts w:ascii="Times New Roman" w:hAnsi="Times New Roman"/>
          <w:sz w:val="28"/>
          <w:szCs w:val="28"/>
          <w:lang w:val="en-US"/>
        </w:rPr>
        <w:t>including C-reactive protein, IL-6 and</w:t>
      </w:r>
      <w:r>
        <w:rPr>
          <w:rFonts w:ascii="Times New Roman" w:hAnsi="Times New Roman"/>
          <w:sz w:val="28"/>
          <w:szCs w:val="28"/>
          <w:lang w:val="en-US"/>
        </w:rPr>
        <w:t xml:space="preserve"> TNF-α, and positively correlat</w:t>
      </w:r>
      <w:r w:rsidRPr="00DF1F7B">
        <w:rPr>
          <w:rFonts w:ascii="Times New Roman" w:hAnsi="Times New Roman"/>
          <w:sz w:val="28"/>
          <w:szCs w:val="28"/>
          <w:lang w:val="en-US"/>
        </w:rPr>
        <w:t>ed with anti-inflammatory markers, such as TGF-β and IL-10 [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DF1F7B">
        <w:rPr>
          <w:rFonts w:ascii="Times New Roman" w:hAnsi="Times New Roman"/>
          <w:sz w:val="28"/>
          <w:szCs w:val="28"/>
          <w:lang w:val="en-US"/>
        </w:rPr>
        <w:t>].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F7B">
        <w:rPr>
          <w:rFonts w:ascii="Times New Roman" w:hAnsi="Times New Roman"/>
          <w:sz w:val="28"/>
          <w:szCs w:val="28"/>
          <w:lang w:val="en-US"/>
        </w:rPr>
        <w:t xml:space="preserve">However, there are reports that supplementation with </w:t>
      </w:r>
      <w:r>
        <w:rPr>
          <w:rFonts w:ascii="Times New Roman" w:hAnsi="Times New Roman"/>
          <w:sz w:val="28"/>
          <w:szCs w:val="28"/>
          <w:lang w:val="en-US"/>
        </w:rPr>
        <w:t xml:space="preserve">PUFA </w:t>
      </w:r>
      <w:r w:rsidRPr="00DF1F7B">
        <w:rPr>
          <w:rFonts w:ascii="Times New Roman" w:hAnsi="Times New Roman"/>
          <w:sz w:val="28"/>
          <w:szCs w:val="28"/>
          <w:lang w:val="en-US"/>
        </w:rPr>
        <w:t>has no effect on these cytokines [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DF1F7B">
        <w:rPr>
          <w:rFonts w:ascii="Times New Roman" w:hAnsi="Times New Roman"/>
          <w:sz w:val="28"/>
          <w:szCs w:val="28"/>
          <w:lang w:val="en-US"/>
        </w:rPr>
        <w:t>].</w:t>
      </w:r>
      <w:r>
        <w:rPr>
          <w:rFonts w:ascii="Times New Roman" w:hAnsi="Times New Roman"/>
          <w:sz w:val="28"/>
          <w:szCs w:val="28"/>
          <w:lang w:val="en-US"/>
        </w:rPr>
        <w:t xml:space="preserve"> In our case we observed of negative influence of PUFA for pro-inflammatory cytokine levels and positive – for IL-10 concentration.</w:t>
      </w:r>
    </w:p>
    <w:p w:rsidR="00EB3E38" w:rsidRDefault="00EB3E38" w:rsidP="00DF1F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Conclusions. </w:t>
      </w:r>
      <w:r w:rsidRPr="002C3225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 xml:space="preserve">The PUFA medication has an immunomodulatory effects: they decrease of serum pro-inflammatory cytokines (IL-1β, IL-6) levels and increase of level of the anti-inflammatory IL-10. </w:t>
      </w:r>
    </w:p>
    <w:p w:rsidR="00EB3E38" w:rsidRPr="002C3225" w:rsidRDefault="00EB3E38" w:rsidP="00DF1F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Ivabradine is caused of reduction IL-1β and IL-6 in serum but not influence for IL-10 concentration.  </w:t>
      </w:r>
    </w:p>
    <w:p w:rsidR="00EB3E38" w:rsidRDefault="00EB3E38" w:rsidP="00650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References.</w:t>
      </w:r>
    </w:p>
    <w:p w:rsidR="00EB3E38" w:rsidRPr="007B0FB1" w:rsidRDefault="00EB3E38" w:rsidP="00DF1F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869">
        <w:rPr>
          <w:rFonts w:ascii="Times New Roman" w:hAnsi="Times New Roman"/>
          <w:spacing w:val="-2"/>
          <w:sz w:val="28"/>
          <w:szCs w:val="28"/>
        </w:rPr>
        <w:t xml:space="preserve">Прасолов, А.В. Изменение содержания ИЛ-1β, ИЛ-6, ФНО-α в сыворотке крови больных ИБС: стабильной стенокардией напряжения </w:t>
      </w:r>
      <w:r w:rsidRPr="00D42869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D42869">
        <w:rPr>
          <w:rFonts w:ascii="Times New Roman" w:hAnsi="Times New Roman"/>
          <w:spacing w:val="-2"/>
          <w:sz w:val="28"/>
          <w:szCs w:val="28"/>
        </w:rPr>
        <w:t>-</w:t>
      </w:r>
      <w:r w:rsidRPr="00D42869">
        <w:rPr>
          <w:rFonts w:ascii="Times New Roman" w:hAnsi="Times New Roman"/>
          <w:spacing w:val="-2"/>
          <w:sz w:val="28"/>
          <w:szCs w:val="28"/>
          <w:lang w:val="en-US"/>
        </w:rPr>
        <w:t>III</w:t>
      </w:r>
      <w:r w:rsidRPr="00D42869">
        <w:rPr>
          <w:rFonts w:ascii="Times New Roman" w:hAnsi="Times New Roman"/>
          <w:spacing w:val="-2"/>
          <w:sz w:val="28"/>
          <w:szCs w:val="28"/>
        </w:rPr>
        <w:t xml:space="preserve"> ФК на фоне лечения / А.В. Прасолов // Аллергология и иммунология. – 2009. – Т.10, №1. – С.99</w:t>
      </w:r>
      <w:r w:rsidRPr="001B42B1">
        <w:rPr>
          <w:rFonts w:ascii="Times New Roman" w:hAnsi="Times New Roman"/>
          <w:spacing w:val="-2"/>
          <w:sz w:val="28"/>
          <w:szCs w:val="28"/>
          <w:lang w:val="ru-RU"/>
        </w:rPr>
        <w:t>-109</w:t>
      </w:r>
      <w:r w:rsidRPr="00D42869">
        <w:rPr>
          <w:rFonts w:ascii="Times New Roman" w:hAnsi="Times New Roman"/>
          <w:spacing w:val="-2"/>
          <w:sz w:val="28"/>
          <w:szCs w:val="28"/>
        </w:rPr>
        <w:t>.</w:t>
      </w:r>
    </w:p>
    <w:p w:rsidR="00EB3E38" w:rsidRPr="009C0721" w:rsidRDefault="00EB3E38" w:rsidP="00DF1F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1F7B">
        <w:rPr>
          <w:rFonts w:ascii="Times New Roman" w:hAnsi="Times New Roman"/>
          <w:sz w:val="28"/>
          <w:szCs w:val="28"/>
        </w:rPr>
        <w:t>Correlation of protein and gene</w:t>
      </w:r>
      <w:r w:rsidRPr="00DF1F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F7B">
        <w:rPr>
          <w:rFonts w:ascii="Times New Roman" w:hAnsi="Times New Roman"/>
          <w:sz w:val="28"/>
          <w:szCs w:val="28"/>
        </w:rPr>
        <w:t>expression profiles of inflammatory proteins after endotoxin challenge in human</w:t>
      </w:r>
      <w:r w:rsidRPr="00DF1F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F7B">
        <w:rPr>
          <w:rFonts w:ascii="Times New Roman" w:hAnsi="Times New Roman"/>
          <w:sz w:val="28"/>
          <w:szCs w:val="28"/>
        </w:rPr>
        <w:t>subjects.</w:t>
      </w:r>
      <w:r>
        <w:rPr>
          <w:rFonts w:ascii="Times New Roman" w:hAnsi="Times New Roman"/>
          <w:sz w:val="28"/>
          <w:szCs w:val="28"/>
          <w:lang w:val="en-US"/>
        </w:rPr>
        <w:t xml:space="preserve"> /</w:t>
      </w:r>
      <w:r w:rsidRPr="00DF1F7B">
        <w:rPr>
          <w:rFonts w:ascii="Times New Roman" w:hAnsi="Times New Roman"/>
          <w:sz w:val="28"/>
          <w:szCs w:val="28"/>
        </w:rPr>
        <w:t xml:space="preserve"> U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Prabhakar, T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Conway, P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Murdock,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DF1F7B">
        <w:rPr>
          <w:rFonts w:ascii="Times New Roman" w:hAnsi="Times New Roman"/>
          <w:sz w:val="28"/>
          <w:szCs w:val="28"/>
        </w:rPr>
        <w:t>et al.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DF1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DF1F7B">
        <w:rPr>
          <w:rFonts w:ascii="Times New Roman" w:hAnsi="Times New Roman"/>
          <w:sz w:val="28"/>
          <w:szCs w:val="28"/>
        </w:rPr>
        <w:t xml:space="preserve"> DNA Cell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Biol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DF1F7B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  <w:lang w:val="en-US"/>
        </w:rPr>
        <w:t>. –Vol.</w:t>
      </w:r>
      <w:r w:rsidRPr="00DF1F7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en-US"/>
        </w:rPr>
        <w:t>. –P.</w:t>
      </w:r>
      <w:r w:rsidRPr="00DF1F7B">
        <w:rPr>
          <w:rFonts w:ascii="Times New Roman" w:hAnsi="Times New Roman"/>
          <w:sz w:val="28"/>
          <w:szCs w:val="28"/>
        </w:rPr>
        <w:t>410–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DF1F7B">
        <w:rPr>
          <w:rFonts w:ascii="Times New Roman" w:hAnsi="Times New Roman"/>
          <w:sz w:val="28"/>
          <w:szCs w:val="28"/>
        </w:rPr>
        <w:t>31.</w:t>
      </w:r>
    </w:p>
    <w:p w:rsidR="00EB3E38" w:rsidRPr="00DF1F7B" w:rsidRDefault="00EB3E38" w:rsidP="00DF1F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Dinarello C. Interleukin 1 in the pathogenesis and treatment of inflammatory diseases /</w:t>
      </w:r>
      <w:r w:rsidRPr="009C072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C. Dinarello //Blood. -2011. –Vol.117. –P.3710-3732.</w:t>
      </w:r>
    </w:p>
    <w:p w:rsidR="00EB3E38" w:rsidRPr="001B42B1" w:rsidRDefault="00EB3E38" w:rsidP="00D42869">
      <w:pPr>
        <w:pStyle w:val="Heading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  <w:lang w:val="en-US"/>
        </w:rPr>
      </w:pPr>
      <w:r w:rsidRPr="001B42B1">
        <w:rPr>
          <w:b w:val="0"/>
          <w:sz w:val="28"/>
          <w:szCs w:val="28"/>
          <w:lang w:val="en-US"/>
        </w:rPr>
        <w:t>Effects of Angiotensin-converting enzyme inhibition and statin treatment on inflammatory markers and endothelial functions in patients with longterm rheumatoid arthritis.</w:t>
      </w:r>
      <w:r>
        <w:rPr>
          <w:b w:val="0"/>
          <w:sz w:val="28"/>
          <w:szCs w:val="28"/>
          <w:lang w:val="en-US"/>
        </w:rPr>
        <w:t xml:space="preserve"> /C. Tikiz, O. Ufuk, T. Pirildar [et al.] //The J. Rheum. – 2011. –Vol.32. –P.2095-2101. </w:t>
      </w:r>
      <w:r w:rsidRPr="001B42B1">
        <w:rPr>
          <w:b w:val="0"/>
          <w:sz w:val="28"/>
          <w:szCs w:val="28"/>
          <w:lang w:val="en-US"/>
        </w:rPr>
        <w:t xml:space="preserve"> </w:t>
      </w:r>
    </w:p>
    <w:p w:rsidR="00EB3E38" w:rsidRPr="00BC7541" w:rsidRDefault="00EB3E38" w:rsidP="00D22C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DA2">
        <w:rPr>
          <w:rFonts w:ascii="Times New Roman" w:hAnsi="Times New Roman"/>
          <w:sz w:val="28"/>
          <w:szCs w:val="28"/>
          <w:lang w:val="en-US"/>
        </w:rPr>
        <w:t>ESC Guidelines for the diagnosis and treatment</w:t>
      </w:r>
      <w:r w:rsidRPr="00C15C10">
        <w:rPr>
          <w:rFonts w:ascii="Times New Roman" w:hAnsi="Times New Roman"/>
          <w:sz w:val="28"/>
          <w:szCs w:val="28"/>
        </w:rPr>
        <w:t xml:space="preserve"> </w:t>
      </w:r>
      <w:r w:rsidRPr="00962DA2">
        <w:rPr>
          <w:rFonts w:ascii="Times New Roman" w:hAnsi="Times New Roman"/>
          <w:sz w:val="28"/>
          <w:szCs w:val="28"/>
          <w:lang w:val="en-US"/>
        </w:rPr>
        <w:t>of acute and chronic heart failure 2012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/J. McMurrey, S. Adamopoulus, S. Anker [et al.] //</w:t>
      </w:r>
      <w:r w:rsidRPr="00962DA2">
        <w:rPr>
          <w:lang w:val="en-US"/>
        </w:rPr>
        <w:t xml:space="preserve"> </w:t>
      </w:r>
      <w:r w:rsidRPr="009772F2">
        <w:rPr>
          <w:rFonts w:ascii="Times New Roman" w:hAnsi="Times New Roman"/>
          <w:sz w:val="28"/>
          <w:szCs w:val="28"/>
          <w:lang w:val="en-US"/>
        </w:rPr>
        <w:t>European Heart Journal</w:t>
      </w:r>
      <w:r>
        <w:rPr>
          <w:rFonts w:ascii="Times New Roman" w:hAnsi="Times New Roman"/>
          <w:sz w:val="28"/>
          <w:szCs w:val="28"/>
          <w:lang w:val="en-US"/>
        </w:rPr>
        <w:t>. – 2012. –Vol. 33. –P.</w:t>
      </w:r>
      <w:r w:rsidRPr="009772F2">
        <w:rPr>
          <w:rFonts w:ascii="Times New Roman" w:hAnsi="Times New Roman"/>
          <w:sz w:val="28"/>
          <w:szCs w:val="28"/>
          <w:lang w:val="en-US"/>
        </w:rPr>
        <w:t>1787–1847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3E38" w:rsidRPr="00136D24" w:rsidRDefault="00EB3E38" w:rsidP="00D22C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lement-citation"/>
          <w:rFonts w:ascii="Times New Roman" w:hAnsi="Times New Roman"/>
          <w:sz w:val="28"/>
          <w:szCs w:val="28"/>
        </w:rPr>
      </w:pPr>
      <w:r w:rsidRPr="00C3278D">
        <w:rPr>
          <w:rStyle w:val="element-citation"/>
          <w:rFonts w:ascii="Times New Roman" w:hAnsi="Times New Roman"/>
          <w:sz w:val="28"/>
          <w:szCs w:val="28"/>
          <w:lang w:val="en-US"/>
        </w:rPr>
        <w:t xml:space="preserve">European Medicines Agency. </w:t>
      </w:r>
      <w:r w:rsidRPr="00C3278D">
        <w:rPr>
          <w:rStyle w:val="ref-journal"/>
          <w:rFonts w:ascii="Times New Roman" w:hAnsi="Times New Roman"/>
          <w:sz w:val="28"/>
          <w:szCs w:val="28"/>
          <w:lang w:val="en-US"/>
        </w:rPr>
        <w:t>ICH Harmonised Tripartite Guideline E6: Note for Guidance on Good Clinical Practice (PMP/ICH/135/95)</w:t>
      </w:r>
      <w:r>
        <w:rPr>
          <w:rStyle w:val="ref-journal"/>
          <w:rFonts w:ascii="Times New Roman" w:hAnsi="Times New Roman"/>
          <w:sz w:val="28"/>
          <w:szCs w:val="28"/>
          <w:lang w:val="en-US"/>
        </w:rPr>
        <w:t>.</w:t>
      </w:r>
      <w:r w:rsidRPr="00C3278D">
        <w:rPr>
          <w:rStyle w:val="element-citation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element-citation"/>
          <w:rFonts w:ascii="Times New Roman" w:hAnsi="Times New Roman"/>
          <w:sz w:val="28"/>
          <w:szCs w:val="28"/>
          <w:lang w:val="en-US"/>
        </w:rPr>
        <w:t>-</w:t>
      </w:r>
      <w:r w:rsidRPr="00C3278D">
        <w:rPr>
          <w:rStyle w:val="element-citation"/>
          <w:rFonts w:ascii="Times New Roman" w:hAnsi="Times New Roman"/>
          <w:sz w:val="28"/>
          <w:szCs w:val="28"/>
          <w:lang w:val="en-US"/>
        </w:rPr>
        <w:t>London: European Medicines Agency</w:t>
      </w:r>
      <w:r>
        <w:rPr>
          <w:rStyle w:val="element-citation"/>
          <w:rFonts w:ascii="Times New Roman" w:hAnsi="Times New Roman"/>
          <w:sz w:val="28"/>
          <w:szCs w:val="28"/>
          <w:lang w:val="en-US"/>
        </w:rPr>
        <w:t>, 2002</w:t>
      </w:r>
      <w:r w:rsidRPr="00C3278D">
        <w:rPr>
          <w:rStyle w:val="element-citation"/>
          <w:rFonts w:ascii="Times New Roman" w:hAnsi="Times New Roman"/>
          <w:sz w:val="28"/>
          <w:szCs w:val="28"/>
          <w:lang w:val="en-US"/>
        </w:rPr>
        <w:t>.</w:t>
      </w:r>
      <w:r>
        <w:rPr>
          <w:rStyle w:val="element-citation"/>
          <w:rFonts w:ascii="Times New Roman" w:hAnsi="Times New Roman"/>
          <w:sz w:val="28"/>
          <w:szCs w:val="28"/>
          <w:lang w:val="en-US"/>
        </w:rPr>
        <w:t xml:space="preserve"> -46 p.</w:t>
      </w:r>
    </w:p>
    <w:p w:rsidR="00EB3E38" w:rsidRPr="006506D9" w:rsidRDefault="00EB3E38" w:rsidP="006506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06D9">
        <w:rPr>
          <w:rFonts w:ascii="Times New Roman" w:hAnsi="Times New Roman"/>
          <w:sz w:val="28"/>
          <w:szCs w:val="28"/>
          <w:lang w:val="en-US"/>
        </w:rPr>
        <w:t>Hofmann U. How we can cure a heart “in flame”? A translation view on inflammation in heart failure / U. Hofmann, S. Frantz //Basic. Res. Cardiol. -2013. –Vol.108. -P. 2-19.</w:t>
      </w:r>
    </w:p>
    <w:p w:rsidR="00EB3E38" w:rsidRPr="00D22C7D" w:rsidRDefault="00EB3E38" w:rsidP="006506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Inflammatory cytokine in heart failure: mediators and markers. /L. Gullestad, T. Ueland, L. Vinge [et al.] //</w:t>
      </w:r>
      <w:r w:rsidRPr="00962DA2">
        <w:rPr>
          <w:rFonts w:ascii="MyriadPro-Regular" w:hAnsi="MyriadPro-Regular" w:cs="MyriadPro-Regular"/>
          <w:sz w:val="18"/>
          <w:szCs w:val="18"/>
          <w:lang w:val="en-US"/>
        </w:rPr>
        <w:t xml:space="preserve"> </w:t>
      </w:r>
      <w:r w:rsidRPr="00962DA2">
        <w:rPr>
          <w:rFonts w:ascii="Times New Roman" w:hAnsi="Times New Roman"/>
          <w:sz w:val="28"/>
          <w:szCs w:val="28"/>
          <w:lang w:val="en-US"/>
        </w:rPr>
        <w:t>Cardiology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962D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962DA2">
        <w:rPr>
          <w:rFonts w:ascii="Times New Roman" w:hAnsi="Times New Roman"/>
          <w:sz w:val="28"/>
          <w:szCs w:val="28"/>
          <w:lang w:val="en-US"/>
        </w:rPr>
        <w:t>2012</w:t>
      </w:r>
      <w:r>
        <w:rPr>
          <w:rFonts w:ascii="Times New Roman" w:hAnsi="Times New Roman"/>
          <w:sz w:val="28"/>
          <w:szCs w:val="28"/>
          <w:lang w:val="en-US"/>
        </w:rPr>
        <w:t>. -Vol.</w:t>
      </w:r>
      <w:r w:rsidRPr="00962DA2">
        <w:rPr>
          <w:rFonts w:ascii="Times New Roman" w:hAnsi="Times New Roman"/>
          <w:sz w:val="28"/>
          <w:szCs w:val="28"/>
          <w:lang w:val="en-US"/>
        </w:rPr>
        <w:t>122</w:t>
      </w:r>
      <w:r>
        <w:rPr>
          <w:rFonts w:ascii="Times New Roman" w:hAnsi="Times New Roman"/>
          <w:sz w:val="28"/>
          <w:szCs w:val="28"/>
          <w:lang w:val="en-US"/>
        </w:rPr>
        <w:t>. -P.</w:t>
      </w:r>
      <w:r w:rsidRPr="00962DA2">
        <w:rPr>
          <w:rFonts w:ascii="Times New Roman" w:hAnsi="Times New Roman"/>
          <w:sz w:val="28"/>
          <w:szCs w:val="28"/>
          <w:lang w:val="en-US"/>
        </w:rPr>
        <w:t>23–35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3E38" w:rsidRPr="00D22C7D" w:rsidRDefault="00EB3E38" w:rsidP="00D22C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C7D">
        <w:rPr>
          <w:rFonts w:ascii="Times New Roman" w:hAnsi="Times New Roman"/>
          <w:sz w:val="28"/>
          <w:szCs w:val="28"/>
        </w:rPr>
        <w:t>Lecour S</w:t>
      </w:r>
      <w:r w:rsidRPr="00D22C7D">
        <w:rPr>
          <w:rFonts w:ascii="Times New Roman" w:hAnsi="Times New Roman"/>
          <w:sz w:val="28"/>
          <w:szCs w:val="28"/>
          <w:lang w:val="en-US"/>
        </w:rPr>
        <w:t>.</w:t>
      </w:r>
      <w:r w:rsidRPr="00D22C7D">
        <w:rPr>
          <w:rFonts w:ascii="Times New Roman" w:hAnsi="Times New Roman"/>
          <w:sz w:val="28"/>
          <w:szCs w:val="28"/>
        </w:rPr>
        <w:t xml:space="preserve"> When are pro-inflammatory cytokines SAFE in heart failure?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 /</w:t>
      </w:r>
      <w:r w:rsidRPr="00D22C7D">
        <w:rPr>
          <w:rFonts w:ascii="Times New Roman" w:hAnsi="Times New Roman"/>
          <w:sz w:val="28"/>
          <w:szCs w:val="28"/>
        </w:rPr>
        <w:t xml:space="preserve"> S</w:t>
      </w:r>
      <w:r w:rsidRPr="00D22C7D">
        <w:rPr>
          <w:rFonts w:ascii="Times New Roman" w:hAnsi="Times New Roman"/>
          <w:sz w:val="28"/>
          <w:szCs w:val="28"/>
          <w:lang w:val="en-US"/>
        </w:rPr>
        <w:t>.</w:t>
      </w:r>
      <w:r w:rsidRPr="00D22C7D">
        <w:rPr>
          <w:rFonts w:ascii="Times New Roman" w:hAnsi="Times New Roman"/>
          <w:sz w:val="28"/>
          <w:szCs w:val="28"/>
        </w:rPr>
        <w:t xml:space="preserve"> Lecour, R</w:t>
      </w:r>
      <w:r w:rsidRPr="00D22C7D">
        <w:rPr>
          <w:rFonts w:ascii="Times New Roman" w:hAnsi="Times New Roman"/>
          <w:sz w:val="28"/>
          <w:szCs w:val="28"/>
          <w:lang w:val="en-US"/>
        </w:rPr>
        <w:t>.</w:t>
      </w:r>
      <w:r w:rsidRPr="00D22C7D">
        <w:rPr>
          <w:rFonts w:ascii="Times New Roman" w:hAnsi="Times New Roman"/>
          <w:sz w:val="28"/>
          <w:szCs w:val="28"/>
        </w:rPr>
        <w:t>W</w:t>
      </w:r>
      <w:r w:rsidRPr="00D22C7D">
        <w:rPr>
          <w:rFonts w:ascii="Times New Roman" w:hAnsi="Times New Roman"/>
          <w:sz w:val="28"/>
          <w:szCs w:val="28"/>
          <w:lang w:val="en-US"/>
        </w:rPr>
        <w:t>.</w:t>
      </w:r>
      <w:r w:rsidRPr="00D22C7D">
        <w:rPr>
          <w:rFonts w:ascii="Times New Roman" w:hAnsi="Times New Roman"/>
          <w:sz w:val="28"/>
          <w:szCs w:val="28"/>
        </w:rPr>
        <w:t xml:space="preserve"> James </w:t>
      </w:r>
      <w:r w:rsidRPr="00D22C7D">
        <w:rPr>
          <w:rFonts w:ascii="Times New Roman" w:hAnsi="Times New Roman"/>
          <w:sz w:val="28"/>
          <w:szCs w:val="28"/>
          <w:lang w:val="en-US"/>
        </w:rPr>
        <w:t>//</w:t>
      </w:r>
      <w:r w:rsidRPr="00D22C7D">
        <w:rPr>
          <w:rFonts w:ascii="Times New Roman" w:hAnsi="Times New Roman"/>
          <w:sz w:val="28"/>
          <w:szCs w:val="28"/>
        </w:rPr>
        <w:t xml:space="preserve"> Eur</w:t>
      </w:r>
      <w:r w:rsidRPr="00D22C7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22C7D">
        <w:rPr>
          <w:rFonts w:ascii="Times New Roman" w:hAnsi="Times New Roman"/>
          <w:sz w:val="28"/>
          <w:szCs w:val="28"/>
        </w:rPr>
        <w:t>Heart J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22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D22C7D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  <w:lang w:val="en-US"/>
        </w:rPr>
        <w:t>. –Vol.</w:t>
      </w:r>
      <w:r w:rsidRPr="00D22C7D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lang w:val="en-US"/>
        </w:rPr>
        <w:t>. –P.</w:t>
      </w:r>
      <w:r w:rsidRPr="00D22C7D">
        <w:rPr>
          <w:rFonts w:ascii="Times New Roman" w:hAnsi="Times New Roman"/>
          <w:sz w:val="28"/>
          <w:szCs w:val="28"/>
        </w:rPr>
        <w:t>680–685.</w:t>
      </w:r>
    </w:p>
    <w:p w:rsidR="00EB3E38" w:rsidRPr="00DF1F7B" w:rsidRDefault="00EB3E38" w:rsidP="00DF1F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1F7B">
        <w:rPr>
          <w:rFonts w:ascii="Times New Roman" w:hAnsi="Times New Roman"/>
          <w:sz w:val="28"/>
          <w:szCs w:val="28"/>
        </w:rPr>
        <w:t xml:space="preserve">Relationship of plasma polyunsaturated fatty acids to circulating inflammatory markers. </w:t>
      </w:r>
      <w:r w:rsidRPr="00DF1F7B">
        <w:rPr>
          <w:rFonts w:ascii="Times New Roman" w:hAnsi="Times New Roman"/>
          <w:sz w:val="28"/>
          <w:szCs w:val="28"/>
          <w:lang w:val="en-US"/>
        </w:rPr>
        <w:t>/</w:t>
      </w:r>
      <w:r w:rsidRPr="00DF1F7B">
        <w:rPr>
          <w:rFonts w:ascii="Times New Roman" w:hAnsi="Times New Roman"/>
          <w:sz w:val="28"/>
          <w:szCs w:val="28"/>
        </w:rPr>
        <w:t xml:space="preserve"> L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Ferrucci, A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Cherubini, S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Bandinelli </w:t>
      </w:r>
      <w:r w:rsidRPr="00DF1F7B">
        <w:rPr>
          <w:rFonts w:ascii="Times New Roman" w:hAnsi="Times New Roman"/>
          <w:sz w:val="28"/>
          <w:szCs w:val="28"/>
          <w:lang w:val="en-US"/>
        </w:rPr>
        <w:t>[</w:t>
      </w:r>
      <w:r w:rsidRPr="00DF1F7B">
        <w:rPr>
          <w:rFonts w:ascii="Times New Roman" w:hAnsi="Times New Roman"/>
          <w:sz w:val="28"/>
          <w:szCs w:val="28"/>
        </w:rPr>
        <w:t>et al.</w:t>
      </w:r>
      <w:r w:rsidRPr="00DF1F7B">
        <w:rPr>
          <w:rFonts w:ascii="Times New Roman" w:hAnsi="Times New Roman"/>
          <w:sz w:val="28"/>
          <w:szCs w:val="28"/>
          <w:lang w:val="en-US"/>
        </w:rPr>
        <w:t>]</w:t>
      </w:r>
      <w:r w:rsidRPr="00DF1F7B">
        <w:rPr>
          <w:rFonts w:ascii="Times New Roman" w:hAnsi="Times New Roman"/>
          <w:sz w:val="28"/>
          <w:szCs w:val="28"/>
        </w:rPr>
        <w:t xml:space="preserve"> </w:t>
      </w:r>
      <w:r w:rsidRPr="00DF1F7B"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DF1F7B">
        <w:rPr>
          <w:rFonts w:ascii="Times New Roman" w:hAnsi="Times New Roman"/>
          <w:sz w:val="28"/>
          <w:szCs w:val="28"/>
        </w:rPr>
        <w:t>J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Clin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Endocrinol</w:t>
      </w:r>
      <w:r w:rsidRPr="00DF1F7B">
        <w:rPr>
          <w:rFonts w:ascii="Times New Roman" w:hAnsi="Times New Roman"/>
          <w:sz w:val="28"/>
          <w:szCs w:val="28"/>
          <w:lang w:val="en-US"/>
        </w:rPr>
        <w:t>.</w:t>
      </w:r>
      <w:r w:rsidRPr="00DF1F7B">
        <w:rPr>
          <w:rFonts w:ascii="Times New Roman" w:hAnsi="Times New Roman"/>
          <w:sz w:val="28"/>
          <w:szCs w:val="28"/>
        </w:rPr>
        <w:t xml:space="preserve"> Metab</w:t>
      </w:r>
      <w:r w:rsidRPr="00DF1F7B">
        <w:rPr>
          <w:rFonts w:ascii="Times New Roman" w:hAnsi="Times New Roman"/>
          <w:sz w:val="28"/>
          <w:szCs w:val="28"/>
          <w:lang w:val="en-US"/>
        </w:rPr>
        <w:t>. -</w:t>
      </w:r>
      <w:r w:rsidRPr="00DF1F7B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  <w:lang w:val="en-US"/>
        </w:rPr>
        <w:t>. –Vol.</w:t>
      </w:r>
      <w:r w:rsidRPr="00DF1F7B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. –P.</w:t>
      </w:r>
      <w:r w:rsidRPr="00DF1F7B">
        <w:rPr>
          <w:rFonts w:ascii="Times New Roman" w:hAnsi="Times New Roman"/>
          <w:sz w:val="28"/>
          <w:szCs w:val="28"/>
        </w:rPr>
        <w:t>439–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DF1F7B">
        <w:rPr>
          <w:rFonts w:ascii="Times New Roman" w:hAnsi="Times New Roman"/>
          <w:sz w:val="28"/>
          <w:szCs w:val="28"/>
        </w:rPr>
        <w:t>46.</w:t>
      </w:r>
    </w:p>
    <w:p w:rsidR="00EB3E38" w:rsidRPr="00D42869" w:rsidRDefault="00EB3E38" w:rsidP="00D42869">
      <w:pPr>
        <w:pStyle w:val="Heading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1B42B1">
        <w:rPr>
          <w:b w:val="0"/>
          <w:sz w:val="28"/>
          <w:szCs w:val="28"/>
          <w:lang w:val="en-US"/>
        </w:rPr>
        <w:t xml:space="preserve">Statin </w:t>
      </w:r>
      <w:r>
        <w:rPr>
          <w:b w:val="0"/>
          <w:sz w:val="28"/>
          <w:szCs w:val="28"/>
          <w:lang w:val="en-US"/>
        </w:rPr>
        <w:t>t</w:t>
      </w:r>
      <w:r w:rsidRPr="001B42B1">
        <w:rPr>
          <w:b w:val="0"/>
          <w:sz w:val="28"/>
          <w:szCs w:val="28"/>
          <w:lang w:val="en-US"/>
        </w:rPr>
        <w:t xml:space="preserve">herapy </w:t>
      </w:r>
      <w:r>
        <w:rPr>
          <w:b w:val="0"/>
          <w:sz w:val="28"/>
          <w:szCs w:val="28"/>
          <w:lang w:val="en-US"/>
        </w:rPr>
        <w:t>i</w:t>
      </w:r>
      <w:r w:rsidRPr="001B42B1">
        <w:rPr>
          <w:b w:val="0"/>
          <w:sz w:val="28"/>
          <w:szCs w:val="28"/>
          <w:lang w:val="en-US"/>
        </w:rPr>
        <w:t xml:space="preserve">s </w:t>
      </w:r>
      <w:r>
        <w:rPr>
          <w:b w:val="0"/>
          <w:sz w:val="28"/>
          <w:szCs w:val="28"/>
          <w:lang w:val="en-US"/>
        </w:rPr>
        <w:t>a</w:t>
      </w:r>
      <w:r w:rsidRPr="001B42B1">
        <w:rPr>
          <w:b w:val="0"/>
          <w:sz w:val="28"/>
          <w:szCs w:val="28"/>
          <w:lang w:val="en-US"/>
        </w:rPr>
        <w:t xml:space="preserve">ssociated </w:t>
      </w:r>
      <w:r>
        <w:rPr>
          <w:b w:val="0"/>
          <w:sz w:val="28"/>
          <w:szCs w:val="28"/>
          <w:lang w:val="en-US"/>
        </w:rPr>
        <w:t>w</w:t>
      </w:r>
      <w:r w:rsidRPr="001B42B1">
        <w:rPr>
          <w:b w:val="0"/>
          <w:sz w:val="28"/>
          <w:szCs w:val="28"/>
          <w:lang w:val="en-US"/>
        </w:rPr>
        <w:t xml:space="preserve">ith </w:t>
      </w:r>
      <w:r>
        <w:rPr>
          <w:b w:val="0"/>
          <w:sz w:val="28"/>
          <w:szCs w:val="28"/>
          <w:lang w:val="en-US"/>
        </w:rPr>
        <w:t>i</w:t>
      </w:r>
      <w:r w:rsidRPr="001B42B1">
        <w:rPr>
          <w:b w:val="0"/>
          <w:sz w:val="28"/>
          <w:szCs w:val="28"/>
          <w:lang w:val="en-US"/>
        </w:rPr>
        <w:t xml:space="preserve">mproved </w:t>
      </w:r>
      <w:r>
        <w:rPr>
          <w:b w:val="0"/>
          <w:sz w:val="28"/>
          <w:szCs w:val="28"/>
          <w:lang w:val="en-US"/>
        </w:rPr>
        <w:t>c</w:t>
      </w:r>
      <w:r w:rsidRPr="001B42B1">
        <w:rPr>
          <w:b w:val="0"/>
          <w:sz w:val="28"/>
          <w:szCs w:val="28"/>
          <w:lang w:val="en-US"/>
        </w:rPr>
        <w:t xml:space="preserve">ardiovascular </w:t>
      </w:r>
      <w:r>
        <w:rPr>
          <w:b w:val="0"/>
          <w:sz w:val="28"/>
          <w:szCs w:val="28"/>
          <w:lang w:val="en-US"/>
        </w:rPr>
        <w:t>o</w:t>
      </w:r>
      <w:r w:rsidRPr="001B42B1">
        <w:rPr>
          <w:b w:val="0"/>
          <w:sz w:val="28"/>
          <w:szCs w:val="28"/>
          <w:lang w:val="en-US"/>
        </w:rPr>
        <w:t xml:space="preserve">utcomes and </w:t>
      </w:r>
      <w:r>
        <w:rPr>
          <w:b w:val="0"/>
          <w:sz w:val="28"/>
          <w:szCs w:val="28"/>
          <w:lang w:val="en-US"/>
        </w:rPr>
        <w:t>l</w:t>
      </w:r>
      <w:r w:rsidRPr="001B42B1">
        <w:rPr>
          <w:b w:val="0"/>
          <w:sz w:val="28"/>
          <w:szCs w:val="28"/>
          <w:lang w:val="en-US"/>
        </w:rPr>
        <w:t xml:space="preserve">evels of </w:t>
      </w:r>
      <w:r>
        <w:rPr>
          <w:b w:val="0"/>
          <w:sz w:val="28"/>
          <w:szCs w:val="28"/>
          <w:lang w:val="en-US"/>
        </w:rPr>
        <w:t>i</w:t>
      </w:r>
      <w:r w:rsidRPr="001B42B1">
        <w:rPr>
          <w:b w:val="0"/>
          <w:sz w:val="28"/>
          <w:szCs w:val="28"/>
          <w:lang w:val="en-US"/>
        </w:rPr>
        <w:t xml:space="preserve">nflammatory </w:t>
      </w:r>
      <w:r>
        <w:rPr>
          <w:b w:val="0"/>
          <w:sz w:val="28"/>
          <w:szCs w:val="28"/>
          <w:lang w:val="en-US"/>
        </w:rPr>
        <w:t>m</w:t>
      </w:r>
      <w:r w:rsidRPr="001B42B1">
        <w:rPr>
          <w:b w:val="0"/>
          <w:sz w:val="28"/>
          <w:szCs w:val="28"/>
          <w:lang w:val="en-US"/>
        </w:rPr>
        <w:t xml:space="preserve">arkers in </w:t>
      </w:r>
      <w:r>
        <w:rPr>
          <w:b w:val="0"/>
          <w:sz w:val="28"/>
          <w:szCs w:val="28"/>
          <w:lang w:val="en-US"/>
        </w:rPr>
        <w:t>p</w:t>
      </w:r>
      <w:r w:rsidRPr="001B42B1">
        <w:rPr>
          <w:b w:val="0"/>
          <w:sz w:val="28"/>
          <w:szCs w:val="28"/>
          <w:lang w:val="en-US"/>
        </w:rPr>
        <w:t xml:space="preserve">atients </w:t>
      </w:r>
      <w:r>
        <w:rPr>
          <w:b w:val="0"/>
          <w:sz w:val="28"/>
          <w:szCs w:val="28"/>
          <w:lang w:val="en-US"/>
        </w:rPr>
        <w:t>w</w:t>
      </w:r>
      <w:r w:rsidRPr="001B42B1">
        <w:rPr>
          <w:b w:val="0"/>
          <w:sz w:val="28"/>
          <w:szCs w:val="28"/>
          <w:lang w:val="en-US"/>
        </w:rPr>
        <w:t xml:space="preserve">ith </w:t>
      </w:r>
      <w:r>
        <w:rPr>
          <w:b w:val="0"/>
          <w:sz w:val="28"/>
          <w:szCs w:val="28"/>
          <w:lang w:val="en-US"/>
        </w:rPr>
        <w:t>h</w:t>
      </w:r>
      <w:r w:rsidRPr="001B42B1">
        <w:rPr>
          <w:b w:val="0"/>
          <w:sz w:val="28"/>
          <w:szCs w:val="28"/>
          <w:lang w:val="en-US"/>
        </w:rPr>
        <w:t xml:space="preserve">eart </w:t>
      </w:r>
      <w:r>
        <w:rPr>
          <w:b w:val="0"/>
          <w:sz w:val="28"/>
          <w:szCs w:val="28"/>
          <w:lang w:val="en-US"/>
        </w:rPr>
        <w:t>f</w:t>
      </w:r>
      <w:r w:rsidRPr="001B42B1">
        <w:rPr>
          <w:b w:val="0"/>
          <w:sz w:val="28"/>
          <w:szCs w:val="28"/>
          <w:lang w:val="en-US"/>
        </w:rPr>
        <w:t>ailure</w:t>
      </w:r>
      <w:r>
        <w:rPr>
          <w:b w:val="0"/>
          <w:sz w:val="28"/>
          <w:szCs w:val="28"/>
          <w:lang w:val="en-US"/>
        </w:rPr>
        <w:t xml:space="preserve"> /S. Sola, M. Mir, S. Rajagopalan [et al.] //J. Card. Fail. -2005. –Vol.11. –P.607-612.</w:t>
      </w:r>
    </w:p>
    <w:p w:rsidR="00EB3E38" w:rsidRPr="001B42B1" w:rsidRDefault="00EB3E38" w:rsidP="007B0FB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  <w:r w:rsidRPr="001B42B1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The pro- and anti-inflammatory properties of the cytokine interleukin-6</w:t>
      </w:r>
      <w:r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 xml:space="preserve"> /J. Sheller, A. Charalis, D. Smidt-Arras [et al.] //BBA. -2011. –Vol.1813. –P.878-888.</w:t>
      </w:r>
    </w:p>
    <w:p w:rsidR="00EB3E38" w:rsidRDefault="00EB3E38">
      <w:pPr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br w:type="page"/>
      </w:r>
    </w:p>
    <w:p w:rsidR="00EB3E38" w:rsidRDefault="00EB3E38" w:rsidP="008B41A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Table</w:t>
      </w:r>
      <w:r>
        <w:rPr>
          <w:rFonts w:ascii="Times New Roman" w:hAnsi="Times New Roman"/>
          <w:i/>
          <w:sz w:val="28"/>
          <w:szCs w:val="28"/>
        </w:rPr>
        <w:t xml:space="preserve"> 1</w:t>
      </w:r>
    </w:p>
    <w:p w:rsidR="00EB3E38" w:rsidRPr="008B41A4" w:rsidRDefault="00EB3E38" w:rsidP="008B41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Dynamics of Cytokine Levels in Serum of Patients with HF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0"/>
        <w:gridCol w:w="1971"/>
        <w:gridCol w:w="1971"/>
        <w:gridCol w:w="1971"/>
        <w:gridCol w:w="1971"/>
      </w:tblGrid>
      <w:tr w:rsidR="00EB3E38" w:rsidRPr="00E157DA" w:rsidTr="00E157DA">
        <w:tc>
          <w:tcPr>
            <w:tcW w:w="1970" w:type="dxa"/>
            <w:vMerge w:val="restart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Value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884" w:type="dxa"/>
            <w:gridSpan w:val="4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Patient with HF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n=357</w:t>
            </w:r>
          </w:p>
        </w:tc>
      </w:tr>
      <w:tr w:rsidR="00EB3E38" w:rsidRPr="00E157DA" w:rsidTr="00E157DA">
        <w:tc>
          <w:tcPr>
            <w:tcW w:w="1970" w:type="dxa"/>
            <w:vMerge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group, n=89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group, n=91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group, n=90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group, n=87</w:t>
            </w:r>
          </w:p>
        </w:tc>
      </w:tr>
      <w:tr w:rsidR="00EB3E38" w:rsidRPr="00E157DA" w:rsidTr="00E157DA">
        <w:tc>
          <w:tcPr>
            <w:tcW w:w="1970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-1β,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pg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/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Before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After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 xml:space="preserve">∆,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. (%)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47,51±3,68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35,41±3,11**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-12,1 (25,5%)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51,21±3,79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34,49±2,97***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-16,72 (32,6%)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50,13±3,62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32,12±3,14***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-18,01 (35,9%)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48,92±3,81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27,21±3,17***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-21,71 (44,4%)</w:t>
            </w:r>
          </w:p>
        </w:tc>
      </w:tr>
      <w:tr w:rsidR="00EB3E38" w:rsidRPr="00E157DA" w:rsidTr="00E157DA">
        <w:tc>
          <w:tcPr>
            <w:tcW w:w="1970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-6,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pg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/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Before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After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 xml:space="preserve">∆,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. (%)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14,71±0,71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10,29±0,54*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-4,42 (30,0%)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16,31±0,49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10,17±0,39**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-6,14 (37,6%)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15,11±0,51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8,18±0,47**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-6,93 (45,9%)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15,82±0,47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8,13±0,41**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-7,69 (48,6%)</w:t>
            </w:r>
          </w:p>
        </w:tc>
      </w:tr>
      <w:tr w:rsidR="00EB3E38" w:rsidRPr="00E157DA" w:rsidTr="00E157DA">
        <w:tc>
          <w:tcPr>
            <w:tcW w:w="1970" w:type="dxa"/>
          </w:tcPr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pg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/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Before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After treatm.</w:t>
            </w:r>
          </w:p>
          <w:p w:rsidR="00EB3E38" w:rsidRPr="00E157DA" w:rsidRDefault="00EB3E38" w:rsidP="00E157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 xml:space="preserve">∆, </w:t>
            </w:r>
            <w:r w:rsidRPr="00E157DA"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 w:rsidRPr="00E157DA">
              <w:rPr>
                <w:rFonts w:ascii="Times New Roman" w:hAnsi="Times New Roman"/>
                <w:sz w:val="28"/>
                <w:szCs w:val="28"/>
              </w:rPr>
              <w:t>. (%)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3,12±0,31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3,97±0,27*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0,85 (21,4%)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3,17±0,41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3,99±0,21*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0,82 (20,6%)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3,10±0,35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4,19±0,29**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1,09 (26,0%)</w:t>
            </w:r>
          </w:p>
        </w:tc>
        <w:tc>
          <w:tcPr>
            <w:tcW w:w="1971" w:type="dxa"/>
          </w:tcPr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3,11±0,35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4,21±0,31**</w:t>
            </w:r>
          </w:p>
          <w:p w:rsidR="00EB3E38" w:rsidRPr="00E157DA" w:rsidRDefault="00EB3E38" w:rsidP="00E157D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DA">
              <w:rPr>
                <w:rFonts w:ascii="Times New Roman" w:hAnsi="Times New Roman"/>
                <w:sz w:val="28"/>
                <w:szCs w:val="28"/>
              </w:rPr>
              <w:t>1,10 (26,1%)</w:t>
            </w:r>
          </w:p>
        </w:tc>
      </w:tr>
    </w:tbl>
    <w:p w:rsidR="00EB3E38" w:rsidRPr="008B41A4" w:rsidRDefault="00EB3E38" w:rsidP="008B41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Remarks</w:t>
      </w:r>
      <w:r>
        <w:rPr>
          <w:rFonts w:ascii="Times New Roman" w:hAnsi="Times New Roman"/>
          <w:sz w:val="28"/>
          <w:szCs w:val="28"/>
        </w:rPr>
        <w:t xml:space="preserve">: 1. </w:t>
      </w:r>
      <w:r>
        <w:rPr>
          <w:rFonts w:ascii="Times New Roman" w:hAnsi="Times New Roman"/>
          <w:sz w:val="28"/>
          <w:szCs w:val="28"/>
          <w:lang w:val="en-US"/>
        </w:rPr>
        <w:t>HF – heart failure</w:t>
      </w:r>
    </w:p>
    <w:p w:rsidR="00EB3E38" w:rsidRPr="00FA06C8" w:rsidRDefault="00EB3E38" w:rsidP="008B4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en-US"/>
        </w:rPr>
        <w:t>Differences in values before and after treatment</w:t>
      </w:r>
      <w:r>
        <w:rPr>
          <w:rFonts w:ascii="Times New Roman" w:hAnsi="Times New Roman"/>
          <w:sz w:val="28"/>
          <w:szCs w:val="28"/>
        </w:rPr>
        <w:t>: * -</w:t>
      </w:r>
      <w:r>
        <w:rPr>
          <w:rFonts w:ascii="Times New Roman" w:hAnsi="Times New Roman"/>
          <w:sz w:val="28"/>
          <w:szCs w:val="28"/>
          <w:lang w:val="en-US"/>
        </w:rPr>
        <w:t>p&lt;0,05; ** - p&lt;0,01; *** - p&lt;0,001.</w:t>
      </w:r>
    </w:p>
    <w:p w:rsidR="00EB3E38" w:rsidRDefault="00EB3E38" w:rsidP="008B41A4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B3E38" w:rsidRDefault="00EB3E38" w:rsidP="008B41A4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B3E38" w:rsidRDefault="00EB3E38" w:rsidP="001B42B1">
      <w:pPr>
        <w:rPr>
          <w:lang w:val="en-US"/>
        </w:rPr>
      </w:pPr>
      <w:r>
        <w:rPr>
          <w:lang w:val="en-US"/>
        </w:rPr>
        <w:t>Fedorov Sergiy – MD, PhD, MBA, Associate professor of Therapy and Family medicine Department of Postgraduate Faculty of Ivano-Frankivsk National Medical University</w:t>
      </w:r>
    </w:p>
    <w:p w:rsidR="00EB3E38" w:rsidRDefault="00EB3E38" w:rsidP="001B42B1">
      <w:pPr>
        <w:rPr>
          <w:lang w:val="en-US"/>
        </w:rPr>
      </w:pPr>
      <w:r>
        <w:rPr>
          <w:lang w:val="en-US"/>
        </w:rPr>
        <w:t>IFNMU</w:t>
      </w:r>
    </w:p>
    <w:p w:rsidR="00EB3E38" w:rsidRDefault="00EB3E38" w:rsidP="001B42B1">
      <w:pPr>
        <w:rPr>
          <w:lang w:val="en-US"/>
        </w:rPr>
      </w:pPr>
      <w:r>
        <w:rPr>
          <w:lang w:val="en-US"/>
        </w:rPr>
        <w:t>2, Galytska str</w:t>
      </w:r>
    </w:p>
    <w:p w:rsidR="00EB3E38" w:rsidRDefault="00EB3E38" w:rsidP="001B42B1">
      <w:pPr>
        <w:rPr>
          <w:lang w:val="en-US"/>
        </w:rPr>
      </w:pPr>
      <w:r>
        <w:rPr>
          <w:lang w:val="en-US"/>
        </w:rPr>
        <w:t>76000 Ivano-Frankivsk</w:t>
      </w:r>
    </w:p>
    <w:p w:rsidR="00EB3E38" w:rsidRPr="00EC28CE" w:rsidRDefault="00EB3E38" w:rsidP="001B42B1">
      <w:pPr>
        <w:rPr>
          <w:lang w:val="en-US"/>
        </w:rPr>
      </w:pPr>
      <w:r>
        <w:rPr>
          <w:lang w:val="en-US"/>
        </w:rPr>
        <w:t>serfed@i.ua</w:t>
      </w:r>
    </w:p>
    <w:sectPr w:rsidR="00EB3E38" w:rsidRPr="00EC28CE" w:rsidSect="006506D9">
      <w:pgSz w:w="11906" w:h="16838"/>
      <w:pgMar w:top="1134" w:right="567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45D"/>
    <w:multiLevelType w:val="hybridMultilevel"/>
    <w:tmpl w:val="C086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83467"/>
    <w:multiLevelType w:val="hybridMultilevel"/>
    <w:tmpl w:val="26C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6D9"/>
    <w:rsid w:val="00054483"/>
    <w:rsid w:val="000A71D7"/>
    <w:rsid w:val="000F76AC"/>
    <w:rsid w:val="00136D24"/>
    <w:rsid w:val="0015175A"/>
    <w:rsid w:val="00167E75"/>
    <w:rsid w:val="00192F54"/>
    <w:rsid w:val="001B42B1"/>
    <w:rsid w:val="0026462B"/>
    <w:rsid w:val="00283026"/>
    <w:rsid w:val="002A2AF0"/>
    <w:rsid w:val="002C3225"/>
    <w:rsid w:val="00333D87"/>
    <w:rsid w:val="00355C7A"/>
    <w:rsid w:val="0037643E"/>
    <w:rsid w:val="00473D50"/>
    <w:rsid w:val="004B38F6"/>
    <w:rsid w:val="004D35D1"/>
    <w:rsid w:val="004E0092"/>
    <w:rsid w:val="006506D9"/>
    <w:rsid w:val="0067328C"/>
    <w:rsid w:val="006F367C"/>
    <w:rsid w:val="00730B16"/>
    <w:rsid w:val="00760F64"/>
    <w:rsid w:val="007B0FB1"/>
    <w:rsid w:val="007E555B"/>
    <w:rsid w:val="00824F62"/>
    <w:rsid w:val="0083110E"/>
    <w:rsid w:val="008A4C59"/>
    <w:rsid w:val="008B41A4"/>
    <w:rsid w:val="009319F3"/>
    <w:rsid w:val="00962DA2"/>
    <w:rsid w:val="009772F2"/>
    <w:rsid w:val="00993C3F"/>
    <w:rsid w:val="009C0721"/>
    <w:rsid w:val="009F0CB9"/>
    <w:rsid w:val="00A20B4E"/>
    <w:rsid w:val="00A86097"/>
    <w:rsid w:val="00A91F47"/>
    <w:rsid w:val="00AD0645"/>
    <w:rsid w:val="00AE75B8"/>
    <w:rsid w:val="00B6518A"/>
    <w:rsid w:val="00B66D37"/>
    <w:rsid w:val="00BC7541"/>
    <w:rsid w:val="00BD6019"/>
    <w:rsid w:val="00C02793"/>
    <w:rsid w:val="00C15C10"/>
    <w:rsid w:val="00C3278D"/>
    <w:rsid w:val="00CA38FE"/>
    <w:rsid w:val="00CA54BD"/>
    <w:rsid w:val="00CE0CB8"/>
    <w:rsid w:val="00D22C7D"/>
    <w:rsid w:val="00D42869"/>
    <w:rsid w:val="00D9647F"/>
    <w:rsid w:val="00DC35AB"/>
    <w:rsid w:val="00DF1F7B"/>
    <w:rsid w:val="00E157DA"/>
    <w:rsid w:val="00E27E35"/>
    <w:rsid w:val="00E36D33"/>
    <w:rsid w:val="00E55368"/>
    <w:rsid w:val="00EB3E38"/>
    <w:rsid w:val="00EC28CE"/>
    <w:rsid w:val="00F0006C"/>
    <w:rsid w:val="00FA06C8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9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4E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0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6506D9"/>
    <w:pPr>
      <w:ind w:left="720"/>
      <w:contextualSpacing/>
    </w:pPr>
  </w:style>
  <w:style w:type="character" w:customStyle="1" w:styleId="element-citation">
    <w:name w:val="element-citation"/>
    <w:basedOn w:val="DefaultParagraphFont"/>
    <w:uiPriority w:val="99"/>
    <w:rsid w:val="00136D24"/>
    <w:rPr>
      <w:rFonts w:cs="Times New Roman"/>
    </w:rPr>
  </w:style>
  <w:style w:type="character" w:customStyle="1" w:styleId="ref-journal">
    <w:name w:val="ref-journal"/>
    <w:basedOn w:val="DefaultParagraphFont"/>
    <w:uiPriority w:val="99"/>
    <w:rsid w:val="00136D24"/>
    <w:rPr>
      <w:rFonts w:cs="Times New Roman"/>
    </w:rPr>
  </w:style>
  <w:style w:type="table" w:styleId="TableGrid">
    <w:name w:val="Table Grid"/>
    <w:basedOn w:val="TableNormal"/>
    <w:uiPriority w:val="99"/>
    <w:rsid w:val="008B41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1988</Words>
  <Characters>11338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5</cp:revision>
  <cp:lastPrinted>2014-11-25T09:07:00Z</cp:lastPrinted>
  <dcterms:created xsi:type="dcterms:W3CDTF">2014-11-25T09:36:00Z</dcterms:created>
  <dcterms:modified xsi:type="dcterms:W3CDTF">2015-04-01T08:42:00Z</dcterms:modified>
</cp:coreProperties>
</file>